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DF5CD">
      <w:pPr>
        <w:rPr>
          <w:rFonts w:ascii="宋体" w:hAnsi="宋体" w:cs="Arial"/>
        </w:rPr>
      </w:pPr>
    </w:p>
    <w:p w14:paraId="651E2B59">
      <w:pPr>
        <w:rPr>
          <w:rFonts w:ascii="宋体" w:hAnsi="宋体" w:cs="Arial"/>
        </w:rPr>
      </w:pPr>
    </w:p>
    <w:p w14:paraId="73970A09">
      <w:pPr>
        <w:rPr>
          <w:rFonts w:ascii="宋体" w:hAnsi="宋体" w:cs="Arial"/>
        </w:rPr>
      </w:pPr>
    </w:p>
    <w:p w14:paraId="5FE00529">
      <w:pPr>
        <w:spacing w:line="360" w:lineRule="auto"/>
        <w:jc w:val="center"/>
        <w:rPr>
          <w:rFonts w:hint="default" w:ascii="宋体" w:hAnsi="宋体" w:eastAsia="宋体" w:cs="Arial"/>
          <w:b/>
          <w:sz w:val="44"/>
          <w:szCs w:val="44"/>
          <w:lang w:val="en-US" w:eastAsia="zh-CN"/>
        </w:rPr>
      </w:pPr>
      <w:r>
        <w:rPr>
          <w:rFonts w:hint="eastAsia" w:ascii="宋体" w:hAnsi="宋体" w:eastAsia="宋体" w:cs="Arial"/>
          <w:b/>
          <w:bCs/>
          <w:color w:val="auto"/>
          <w:sz w:val="44"/>
          <w:szCs w:val="44"/>
          <w:highlight w:val="none"/>
          <w:lang w:val="en-US" w:eastAsia="zh-CN"/>
        </w:rPr>
        <w:t>中铝铝箔有限公司浩鑫厂铸轧班</w:t>
      </w:r>
    </w:p>
    <w:p w14:paraId="1FBE4E6D">
      <w:pPr>
        <w:spacing w:line="360" w:lineRule="auto"/>
        <w:jc w:val="center"/>
        <w:rPr>
          <w:rFonts w:hint="eastAsia" w:ascii="宋体" w:hAnsi="宋体" w:eastAsia="宋体" w:cs="Arial"/>
          <w:b/>
          <w:bCs/>
          <w:color w:val="auto"/>
          <w:sz w:val="44"/>
          <w:szCs w:val="44"/>
          <w:highlight w:val="none"/>
          <w:lang w:val="en-US" w:eastAsia="zh-CN"/>
        </w:rPr>
      </w:pPr>
      <w:r>
        <w:rPr>
          <w:rFonts w:hint="eastAsia" w:ascii="宋体" w:hAnsi="宋体" w:eastAsia="宋体" w:cs="Arial"/>
          <w:b/>
          <w:bCs/>
          <w:color w:val="auto"/>
          <w:sz w:val="44"/>
          <w:szCs w:val="44"/>
          <w:highlight w:val="none"/>
          <w:lang w:val="en-US" w:eastAsia="zh-CN"/>
        </w:rPr>
        <w:t>2号机剪刀改造项目</w:t>
      </w:r>
    </w:p>
    <w:p w14:paraId="174D1BF5">
      <w:pPr>
        <w:spacing w:line="360" w:lineRule="auto"/>
        <w:jc w:val="center"/>
        <w:rPr>
          <w:rFonts w:hint="default" w:ascii="宋体" w:hAnsi="宋体" w:cs="Arial"/>
          <w:b/>
          <w:sz w:val="48"/>
          <w:szCs w:val="48"/>
          <w:lang w:val="en-US"/>
        </w:rPr>
      </w:pPr>
      <w:r>
        <w:rPr>
          <w:rFonts w:hint="eastAsia" w:ascii="宋体" w:hAnsi="宋体" w:cs="Arial"/>
          <w:b/>
          <w:sz w:val="48"/>
          <w:szCs w:val="48"/>
          <w:lang w:val="en-US" w:eastAsia="zh-CN"/>
        </w:rPr>
        <w:t>邀请报价函</w:t>
      </w:r>
    </w:p>
    <w:p w14:paraId="0EFD0CAB">
      <w:pPr>
        <w:spacing w:line="480" w:lineRule="exact"/>
        <w:ind w:firstLine="2080" w:firstLineChars="650"/>
        <w:rPr>
          <w:rFonts w:ascii="宋体" w:hAnsi="宋体" w:cs="F2,Bold"/>
          <w:bCs/>
          <w:kern w:val="0"/>
          <w:sz w:val="32"/>
          <w:szCs w:val="32"/>
        </w:rPr>
      </w:pPr>
    </w:p>
    <w:p w14:paraId="204B3CF6">
      <w:pPr>
        <w:spacing w:line="480" w:lineRule="exact"/>
        <w:ind w:firstLine="2080" w:firstLineChars="650"/>
        <w:rPr>
          <w:rFonts w:ascii="宋体" w:hAnsi="宋体" w:cs="F2,Bold"/>
          <w:bCs/>
          <w:kern w:val="0"/>
          <w:sz w:val="32"/>
          <w:szCs w:val="32"/>
        </w:rPr>
      </w:pPr>
    </w:p>
    <w:p w14:paraId="61967358">
      <w:pPr>
        <w:spacing w:line="480" w:lineRule="exact"/>
        <w:rPr>
          <w:rFonts w:ascii="宋体" w:hAnsi="宋体" w:cs="F2,Bold"/>
          <w:b/>
          <w:bCs/>
          <w:kern w:val="0"/>
          <w:szCs w:val="21"/>
        </w:rPr>
      </w:pPr>
      <w:bookmarkStart w:id="23" w:name="_GoBack"/>
      <w:r>
        <w:rPr>
          <w:rFonts w:hint="eastAsia"/>
        </w:rPr>
        <w:drawing>
          <wp:anchor distT="0" distB="0" distL="114300" distR="114300" simplePos="0" relativeHeight="251659264" behindDoc="1" locked="0" layoutInCell="1" allowOverlap="1">
            <wp:simplePos x="0" y="0"/>
            <wp:positionH relativeFrom="margin">
              <wp:posOffset>2066925</wp:posOffset>
            </wp:positionH>
            <wp:positionV relativeFrom="margin">
              <wp:posOffset>4277995</wp:posOffset>
            </wp:positionV>
            <wp:extent cx="1617980" cy="1163320"/>
            <wp:effectExtent l="0" t="0" r="1270" b="17780"/>
            <wp:wrapTight wrapText="bothSides">
              <wp:wrapPolygon>
                <wp:start x="0" y="0"/>
                <wp:lineTo x="0" y="21223"/>
                <wp:lineTo x="21363" y="21223"/>
                <wp:lineTo x="21363" y="0"/>
                <wp:lineTo x="0" y="0"/>
              </wp:wrapPolygon>
            </wp:wrapTight>
            <wp:docPr id="1" name="图片 1" descr="说明: http://www.chinalco.com.cn/zgly/lib/images/style5/qybs-pi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http://www.chinalco.com.cn/zgly/lib/images/style5/qybs-picd.jpg"/>
                    <pic:cNvPicPr>
                      <a:picLocks noChangeAspect="1" noChangeArrowheads="1"/>
                    </pic:cNvPicPr>
                  </pic:nvPicPr>
                  <pic:blipFill>
                    <a:blip r:embed="rId4">
                      <a:extLst>
                        <a:ext uri="{28A0092B-C50C-407E-A947-70E740481C1C}">
                          <a14:useLocalDpi xmlns:a14="http://schemas.microsoft.com/office/drawing/2010/main" val="0"/>
                        </a:ext>
                      </a:extLst>
                    </a:blip>
                    <a:srcRect l="11725" t="7147" r="7652" b="38690"/>
                    <a:stretch>
                      <a:fillRect/>
                    </a:stretch>
                  </pic:blipFill>
                  <pic:spPr>
                    <a:xfrm>
                      <a:off x="0" y="0"/>
                      <a:ext cx="1617980" cy="1163320"/>
                    </a:xfrm>
                    <a:prstGeom prst="rect">
                      <a:avLst/>
                    </a:prstGeom>
                    <a:noFill/>
                  </pic:spPr>
                </pic:pic>
              </a:graphicData>
            </a:graphic>
          </wp:anchor>
        </w:drawing>
      </w:r>
      <w:bookmarkEnd w:id="23"/>
    </w:p>
    <w:p w14:paraId="0CA6DAFD">
      <w:pPr>
        <w:spacing w:line="480" w:lineRule="exact"/>
        <w:rPr>
          <w:rFonts w:ascii="宋体" w:hAnsi="宋体" w:cs="F2,Bold"/>
          <w:b/>
          <w:bCs/>
          <w:kern w:val="0"/>
          <w:szCs w:val="21"/>
        </w:rPr>
      </w:pPr>
    </w:p>
    <w:p w14:paraId="0CC951BC">
      <w:pPr>
        <w:spacing w:line="480" w:lineRule="exact"/>
        <w:rPr>
          <w:rFonts w:ascii="宋体" w:hAnsi="宋体" w:cs="F2,Bold"/>
          <w:b/>
          <w:bCs/>
          <w:kern w:val="0"/>
          <w:szCs w:val="21"/>
        </w:rPr>
      </w:pPr>
      <w:r>
        <w:rPr>
          <w:rFonts w:hint="eastAsia" w:ascii="宋体" w:hAnsi="宋体" w:cs="F2,Bold"/>
          <w:b/>
          <w:bCs/>
          <w:kern w:val="0"/>
          <w:szCs w:val="21"/>
        </w:rPr>
        <w:t xml:space="preserve">                                       </w:t>
      </w:r>
    </w:p>
    <w:p w14:paraId="47986852">
      <w:pPr>
        <w:spacing w:line="480" w:lineRule="exact"/>
        <w:rPr>
          <w:rFonts w:ascii="宋体" w:hAnsi="宋体" w:cs="F2,Bold"/>
          <w:b/>
          <w:bCs/>
          <w:kern w:val="0"/>
          <w:szCs w:val="21"/>
        </w:rPr>
      </w:pPr>
      <w:r>
        <w:rPr>
          <w:rFonts w:hint="eastAsia" w:ascii="宋体" w:hAnsi="宋体" w:cs="F2,Bold"/>
          <w:b/>
          <w:bCs/>
          <w:kern w:val="0"/>
          <w:szCs w:val="21"/>
        </w:rPr>
        <w:t xml:space="preserve">                       </w:t>
      </w:r>
    </w:p>
    <w:p w14:paraId="10AAEAC5">
      <w:pPr>
        <w:spacing w:line="480" w:lineRule="exact"/>
        <w:rPr>
          <w:rFonts w:ascii="宋体" w:hAnsi="宋体" w:cs="F2,Bold"/>
          <w:b/>
          <w:bCs/>
          <w:kern w:val="0"/>
          <w:szCs w:val="21"/>
        </w:rPr>
      </w:pPr>
    </w:p>
    <w:p w14:paraId="0B9B934C">
      <w:pPr>
        <w:spacing w:line="480" w:lineRule="exact"/>
        <w:rPr>
          <w:rFonts w:ascii="宋体" w:hAnsi="宋体" w:cs="F2,Bold"/>
          <w:b/>
          <w:bCs/>
          <w:kern w:val="0"/>
          <w:szCs w:val="21"/>
        </w:rPr>
      </w:pPr>
    </w:p>
    <w:p w14:paraId="6AB11D28">
      <w:pPr>
        <w:spacing w:line="480" w:lineRule="exact"/>
        <w:rPr>
          <w:rFonts w:ascii="宋体" w:hAnsi="宋体" w:cs="F2,Bold"/>
          <w:b/>
          <w:bCs/>
          <w:kern w:val="0"/>
          <w:szCs w:val="21"/>
        </w:rPr>
      </w:pPr>
    </w:p>
    <w:p w14:paraId="3F301FA1">
      <w:pPr>
        <w:spacing w:after="240"/>
        <w:ind w:firstLine="1328" w:firstLineChars="405"/>
        <w:rPr>
          <w:rFonts w:hint="eastAsia" w:ascii="宋体" w:hAnsi="宋体" w:cs="Arial"/>
          <w:spacing w:val="14"/>
          <w:kern w:val="15"/>
          <w:sz w:val="30"/>
          <w:szCs w:val="32"/>
        </w:rPr>
      </w:pPr>
    </w:p>
    <w:p w14:paraId="023A8B01">
      <w:pPr>
        <w:spacing w:after="240"/>
        <w:ind w:firstLine="1328" w:firstLineChars="405"/>
        <w:rPr>
          <w:rFonts w:hint="eastAsia" w:ascii="宋体" w:hAnsi="宋体" w:cs="Arial"/>
          <w:spacing w:val="14"/>
          <w:kern w:val="15"/>
          <w:sz w:val="30"/>
          <w:szCs w:val="32"/>
        </w:rPr>
      </w:pPr>
    </w:p>
    <w:p w14:paraId="64D31697">
      <w:pPr>
        <w:spacing w:after="240"/>
        <w:ind w:firstLine="1328" w:firstLineChars="405"/>
        <w:rPr>
          <w:rFonts w:hint="eastAsia" w:ascii="宋体" w:hAnsi="宋体" w:cs="Arial"/>
          <w:spacing w:val="14"/>
          <w:kern w:val="15"/>
          <w:sz w:val="30"/>
          <w:szCs w:val="32"/>
        </w:rPr>
      </w:pPr>
    </w:p>
    <w:p w14:paraId="44CCC993">
      <w:pPr>
        <w:spacing w:after="240"/>
        <w:ind w:firstLine="1328" w:firstLineChars="405"/>
        <w:rPr>
          <w:rFonts w:hint="eastAsia" w:ascii="宋体" w:hAnsi="宋体" w:cs="Arial"/>
          <w:spacing w:val="14"/>
          <w:kern w:val="15"/>
          <w:sz w:val="30"/>
          <w:szCs w:val="32"/>
        </w:rPr>
      </w:pPr>
    </w:p>
    <w:p w14:paraId="6377F56F">
      <w:pPr>
        <w:spacing w:after="240"/>
        <w:ind w:firstLine="1328" w:firstLineChars="405"/>
        <w:rPr>
          <w:rFonts w:hint="default" w:ascii="宋体" w:hAnsi="宋体" w:eastAsia="宋体" w:cs="Arial"/>
          <w:spacing w:val="14"/>
          <w:kern w:val="15"/>
          <w:sz w:val="30"/>
          <w:szCs w:val="30"/>
          <w:lang w:val="en-US" w:eastAsia="zh-CN"/>
        </w:rPr>
      </w:pPr>
      <w:r>
        <w:rPr>
          <w:rFonts w:hint="eastAsia" w:ascii="宋体" w:hAnsi="宋体" w:cs="Arial"/>
          <w:spacing w:val="14"/>
          <w:kern w:val="15"/>
          <w:sz w:val="30"/>
          <w:szCs w:val="32"/>
        </w:rPr>
        <w:t>采  购  人：</w:t>
      </w:r>
      <w:r>
        <w:rPr>
          <w:rFonts w:hint="eastAsia" w:ascii="宋体" w:hAnsi="宋体" w:cs="Arial"/>
          <w:spacing w:val="14"/>
          <w:kern w:val="15"/>
          <w:sz w:val="30"/>
          <w:szCs w:val="32"/>
          <w:highlight w:val="none"/>
          <w:lang w:val="en-US" w:eastAsia="zh-CN"/>
        </w:rPr>
        <w:t>中铝铝箔（云南）有限公司</w:t>
      </w:r>
    </w:p>
    <w:p w14:paraId="546949ED">
      <w:pPr>
        <w:ind w:firstLine="1328" w:firstLineChars="405"/>
        <w:rPr>
          <w:rFonts w:hint="default" w:ascii="宋体" w:hAnsi="宋体" w:eastAsia="宋体" w:cs="Arial"/>
          <w:spacing w:val="14"/>
          <w:kern w:val="15"/>
          <w:sz w:val="30"/>
          <w:szCs w:val="32"/>
          <w:lang w:val="en-US" w:eastAsia="zh-CN"/>
        </w:rPr>
      </w:pPr>
      <w:r>
        <w:rPr>
          <w:rFonts w:hint="eastAsia" w:ascii="宋体" w:hAnsi="宋体" w:cs="Arial"/>
          <w:spacing w:val="14"/>
          <w:kern w:val="15"/>
          <w:sz w:val="30"/>
          <w:szCs w:val="32"/>
        </w:rPr>
        <w:t>日       期：</w:t>
      </w:r>
      <w:r>
        <w:rPr>
          <w:rFonts w:hint="eastAsia" w:ascii="宋体" w:hAnsi="宋体" w:cs="Arial"/>
          <w:spacing w:val="14"/>
          <w:kern w:val="15"/>
          <w:sz w:val="30"/>
          <w:szCs w:val="32"/>
          <w:lang w:val="en-US" w:eastAsia="zh-CN"/>
        </w:rPr>
        <w:t>2026年7月16日</w:t>
      </w:r>
    </w:p>
    <w:p w14:paraId="2E3D00FB">
      <w:pPr>
        <w:widowControl/>
        <w:jc w:val="left"/>
        <w:rPr>
          <w:color w:val="BFBFBF"/>
        </w:rPr>
      </w:pPr>
    </w:p>
    <w:p w14:paraId="2676B91C">
      <w:pPr>
        <w:widowControl/>
        <w:jc w:val="left"/>
        <w:rPr>
          <w:rFonts w:ascii="宋体" w:hAnsi="宋体" w:eastAsiaTheme="minorEastAsia" w:cstheme="minorBidi"/>
          <w:color w:val="BFBFBF"/>
          <w:kern w:val="1"/>
        </w:rPr>
      </w:pPr>
      <w:r>
        <w:rPr>
          <w:color w:val="BFBFBF"/>
        </w:rPr>
        <w:br w:type="page"/>
      </w:r>
    </w:p>
    <w:p w14:paraId="7D555E05">
      <w:pPr>
        <w:pStyle w:val="20"/>
        <w:rPr>
          <w:sz w:val="28"/>
          <w:szCs w:val="28"/>
          <w:highlight w:val="none"/>
          <w:lang w:eastAsia="zh-CN"/>
        </w:rPr>
      </w:pPr>
      <w:bookmarkStart w:id="0" w:name="_Toc7770"/>
      <w:bookmarkStart w:id="1" w:name="_Toc22572"/>
      <w:r>
        <w:rPr>
          <w:rFonts w:hint="eastAsia"/>
          <w:highlight w:val="none"/>
          <w:lang w:eastAsia="zh-CN"/>
        </w:rPr>
        <w:t>1</w:t>
      </w:r>
      <w:r>
        <w:rPr>
          <w:rFonts w:hint="eastAsia"/>
          <w:sz w:val="28"/>
          <w:szCs w:val="28"/>
          <w:highlight w:val="none"/>
          <w:lang w:eastAsia="zh-CN"/>
        </w:rPr>
        <w:t>.</w:t>
      </w:r>
      <w:r>
        <w:rPr>
          <w:rFonts w:hint="eastAsia"/>
          <w:sz w:val="28"/>
          <w:szCs w:val="28"/>
          <w:highlight w:val="none"/>
        </w:rPr>
        <w:t>采购条件</w:t>
      </w:r>
      <w:bookmarkEnd w:id="0"/>
      <w:bookmarkEnd w:id="1"/>
    </w:p>
    <w:p w14:paraId="418F7A59">
      <w:pPr>
        <w:pStyle w:val="18"/>
        <w:rPr>
          <w:sz w:val="28"/>
          <w:szCs w:val="28"/>
          <w:highlight w:val="none"/>
        </w:rPr>
      </w:pPr>
      <w:r>
        <w:rPr>
          <w:rFonts w:hint="eastAsia"/>
          <w:sz w:val="28"/>
          <w:szCs w:val="28"/>
          <w:highlight w:val="none"/>
        </w:rPr>
        <w:t>1.1项目名称:</w:t>
      </w:r>
      <w:r>
        <w:rPr>
          <w:rFonts w:hint="eastAsia" w:ascii="宋体" w:hAnsi="宋体" w:eastAsia="宋体"/>
          <w:sz w:val="28"/>
          <w:szCs w:val="28"/>
          <w:lang w:val="en-US" w:eastAsia="zh-CN"/>
        </w:rPr>
        <w:t>铸轧</w:t>
      </w:r>
      <w:r>
        <w:rPr>
          <w:rFonts w:hint="eastAsia"/>
          <w:sz w:val="28"/>
          <w:szCs w:val="28"/>
          <w:lang w:val="en-US" w:eastAsia="zh-CN"/>
        </w:rPr>
        <w:t>班</w:t>
      </w:r>
      <w:r>
        <w:rPr>
          <w:rFonts w:hint="eastAsia" w:ascii="宋体" w:hAnsi="宋体" w:eastAsia="宋体"/>
          <w:sz w:val="28"/>
          <w:szCs w:val="28"/>
          <w:lang w:val="en-US" w:eastAsia="zh-CN"/>
        </w:rPr>
        <w:t>2号机剪刀改造</w:t>
      </w:r>
      <w:r>
        <w:rPr>
          <w:rFonts w:hint="eastAsia"/>
          <w:sz w:val="28"/>
          <w:szCs w:val="28"/>
          <w:lang w:val="en-US" w:eastAsia="zh-CN"/>
        </w:rPr>
        <w:t>项目</w:t>
      </w:r>
    </w:p>
    <w:p w14:paraId="5749144A">
      <w:pPr>
        <w:spacing w:after="240"/>
        <w:rPr>
          <w:rFonts w:hint="default" w:ascii="宋体" w:hAnsi="宋体" w:eastAsia="宋体" w:cs="Times New Roman"/>
          <w:kern w:val="2"/>
          <w:sz w:val="28"/>
          <w:szCs w:val="28"/>
          <w:lang w:val="en-US" w:eastAsia="zh-CN" w:bidi="ar-SA"/>
        </w:rPr>
      </w:pPr>
      <w:r>
        <w:rPr>
          <w:rFonts w:hint="eastAsia" w:ascii="宋体" w:hAnsi="宋体"/>
          <w:sz w:val="28"/>
          <w:szCs w:val="28"/>
          <w:highlight w:val="none"/>
        </w:rPr>
        <w:t>1.2</w:t>
      </w:r>
      <w:r>
        <w:rPr>
          <w:rStyle w:val="21"/>
          <w:rFonts w:hint="eastAsia"/>
          <w:sz w:val="28"/>
          <w:szCs w:val="28"/>
          <w:highlight w:val="none"/>
        </w:rPr>
        <w:t>采购人：</w:t>
      </w:r>
      <w:r>
        <w:rPr>
          <w:rFonts w:hint="eastAsia" w:ascii="宋体" w:hAnsi="宋体" w:eastAsia="宋体" w:cs="Times New Roman"/>
          <w:kern w:val="2"/>
          <w:sz w:val="28"/>
          <w:szCs w:val="28"/>
          <w:lang w:val="en-US" w:eastAsia="zh-CN" w:bidi="ar-SA"/>
        </w:rPr>
        <w:t>中铝铝箔</w:t>
      </w:r>
      <w:r>
        <w:rPr>
          <w:rFonts w:hint="eastAsia" w:ascii="宋体" w:hAnsi="宋体" w:cs="Times New Roman"/>
          <w:kern w:val="2"/>
          <w:sz w:val="28"/>
          <w:szCs w:val="28"/>
          <w:lang w:val="en-US" w:eastAsia="zh-CN" w:bidi="ar-SA"/>
        </w:rPr>
        <w:t>（云南）</w:t>
      </w:r>
      <w:r>
        <w:rPr>
          <w:rFonts w:hint="eastAsia" w:ascii="宋体" w:hAnsi="宋体" w:eastAsia="宋体" w:cs="Times New Roman"/>
          <w:kern w:val="2"/>
          <w:sz w:val="28"/>
          <w:szCs w:val="28"/>
          <w:lang w:val="en-US" w:eastAsia="zh-CN" w:bidi="ar-SA"/>
        </w:rPr>
        <w:t>有限公司</w:t>
      </w:r>
    </w:p>
    <w:p w14:paraId="1DFCF7CF">
      <w:pPr>
        <w:pStyle w:val="20"/>
        <w:rPr>
          <w:sz w:val="28"/>
          <w:szCs w:val="28"/>
          <w:lang w:eastAsia="zh-CN"/>
        </w:rPr>
      </w:pPr>
      <w:bookmarkStart w:id="2" w:name="_Toc16539"/>
      <w:bookmarkStart w:id="3" w:name="_Toc8772"/>
      <w:r>
        <w:rPr>
          <w:rFonts w:hint="eastAsia"/>
          <w:sz w:val="28"/>
          <w:szCs w:val="28"/>
          <w:lang w:eastAsia="zh-CN"/>
        </w:rPr>
        <w:t>2.项目概况及采购范围</w:t>
      </w:r>
      <w:bookmarkEnd w:id="2"/>
      <w:bookmarkEnd w:id="3"/>
    </w:p>
    <w:p w14:paraId="6D0A083A">
      <w:pPr>
        <w:pStyle w:val="18"/>
        <w:rPr>
          <w:rFonts w:hint="eastAsia" w:ascii="宋体" w:hAnsi="宋体" w:eastAsia="宋体" w:cs="宋体"/>
          <w:sz w:val="28"/>
          <w:szCs w:val="28"/>
          <w:highlight w:val="none"/>
        </w:rPr>
      </w:pPr>
      <w:r>
        <w:rPr>
          <w:rFonts w:hint="eastAsia" w:ascii="宋体" w:hAnsi="宋体" w:eastAsia="宋体" w:cs="宋体"/>
          <w:sz w:val="28"/>
          <w:szCs w:val="28"/>
          <w:highlight w:val="none"/>
        </w:rPr>
        <w:t>2.1项目概况：</w:t>
      </w:r>
    </w:p>
    <w:p w14:paraId="2C30D242">
      <w:pPr>
        <w:pStyle w:val="18"/>
        <w:ind w:firstLine="560" w:firstLineChars="200"/>
        <w:rPr>
          <w:rFonts w:hint="eastAsia" w:ascii="宋体" w:hAnsi="宋体" w:eastAsia="宋体" w:cs="宋体"/>
          <w:kern w:val="2"/>
          <w:sz w:val="28"/>
          <w:szCs w:val="28"/>
          <w:highlight w:val="none"/>
          <w:lang w:val="en-US" w:eastAsia="zh-CN" w:bidi="ar-SA"/>
        </w:rPr>
      </w:pPr>
      <w:r>
        <w:rPr>
          <w:rFonts w:hint="eastAsia" w:ascii="宋体" w:hAnsi="宋体" w:eastAsia="宋体" w:cs="Times New Roman"/>
          <w:color w:val="auto"/>
          <w:kern w:val="2"/>
          <w:sz w:val="28"/>
          <w:szCs w:val="28"/>
          <w:highlight w:val="none"/>
          <w:lang w:val="en-US" w:eastAsia="zh-CN" w:bidi="ar-SA"/>
        </w:rPr>
        <w:t>浩鑫厂铸轧班2#铸轧机原装剪刀存在先天设计缺陷，设备在日常剪板作业过程中，经常性出现剪切完成后刀架无法自动回弹、机构动作失效、抵板误碰停机等多种故障。受故障影响，该设备每年造成非计划停机8至10次，频繁打断铸轧连续生产同时异常停机存在较大安全隐患，制约机组产能释放，现有结构已无法满足连续化生产运行标准。为彻底消除结构性隐患，稳定设备运行状态，拟开展整套剪刀专项设计改造工作。通过重新优化传动结构、回弹机构与抵板限位结构，从设计根源处置现存问题，切实减少非正常停机，提升2#铸轧机运行可靠性与生产连续性。</w:t>
      </w:r>
    </w:p>
    <w:p w14:paraId="7BF9760A">
      <w:pPr>
        <w:pStyle w:val="18"/>
        <w:rPr>
          <w:rFonts w:hint="eastAsia" w:ascii="宋体" w:hAnsi="宋体" w:eastAsia="宋体" w:cs="宋体"/>
          <w:sz w:val="28"/>
          <w:szCs w:val="28"/>
          <w:highlight w:val="none"/>
        </w:rPr>
      </w:pPr>
      <w:r>
        <w:rPr>
          <w:rFonts w:hint="eastAsia" w:ascii="宋体" w:hAnsi="宋体" w:eastAsia="宋体" w:cs="宋体"/>
          <w:sz w:val="28"/>
          <w:szCs w:val="28"/>
          <w:highlight w:val="none"/>
        </w:rPr>
        <w:t>2.2采购范围：</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3119"/>
        <w:gridCol w:w="4459"/>
      </w:tblGrid>
      <w:tr w14:paraId="1150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03DE3F1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序号</w:t>
            </w:r>
          </w:p>
        </w:tc>
        <w:tc>
          <w:tcPr>
            <w:tcW w:w="3119" w:type="dxa"/>
            <w:shd w:val="clear" w:color="auto" w:fill="auto"/>
            <w:noWrap w:val="0"/>
            <w:tcMar>
              <w:top w:w="80" w:type="dxa"/>
              <w:left w:w="110" w:type="dxa"/>
              <w:bottom w:w="80" w:type="dxa"/>
              <w:right w:w="110" w:type="dxa"/>
            </w:tcMar>
            <w:vAlign w:val="center"/>
          </w:tcPr>
          <w:p w14:paraId="493BD20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供货项目</w:t>
            </w:r>
          </w:p>
        </w:tc>
        <w:tc>
          <w:tcPr>
            <w:tcW w:w="4459" w:type="dxa"/>
            <w:shd w:val="clear" w:color="auto" w:fill="auto"/>
            <w:noWrap w:val="0"/>
            <w:tcMar>
              <w:top w:w="80" w:type="dxa"/>
              <w:left w:w="110" w:type="dxa"/>
              <w:bottom w:w="80" w:type="dxa"/>
              <w:right w:w="110" w:type="dxa"/>
            </w:tcMar>
            <w:vAlign w:val="center"/>
          </w:tcPr>
          <w:p w14:paraId="18B098B3">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说明</w:t>
            </w:r>
          </w:p>
        </w:tc>
      </w:tr>
      <w:tr w14:paraId="639A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245C7AD3">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1</w:t>
            </w:r>
          </w:p>
        </w:tc>
        <w:tc>
          <w:tcPr>
            <w:tcW w:w="3119" w:type="dxa"/>
            <w:shd w:val="clear" w:color="auto" w:fill="auto"/>
            <w:noWrap w:val="0"/>
            <w:tcMar>
              <w:top w:w="80" w:type="dxa"/>
              <w:left w:w="110" w:type="dxa"/>
              <w:bottom w:w="80" w:type="dxa"/>
              <w:right w:w="110" w:type="dxa"/>
            </w:tcMar>
            <w:vAlign w:val="center"/>
          </w:tcPr>
          <w:p w14:paraId="42AFF632">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液压平动剪主机</w:t>
            </w:r>
          </w:p>
        </w:tc>
        <w:tc>
          <w:tcPr>
            <w:tcW w:w="4459" w:type="dxa"/>
            <w:shd w:val="clear" w:color="auto" w:fill="auto"/>
            <w:noWrap w:val="0"/>
            <w:tcMar>
              <w:top w:w="80" w:type="dxa"/>
              <w:left w:w="110" w:type="dxa"/>
              <w:bottom w:w="80" w:type="dxa"/>
              <w:right w:w="110" w:type="dxa"/>
            </w:tcMar>
            <w:vAlign w:val="center"/>
          </w:tcPr>
          <w:p w14:paraId="1BA158E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含机架、底座、上刀架、下刀座、平动承载体及导向支承件</w:t>
            </w:r>
          </w:p>
        </w:tc>
      </w:tr>
      <w:tr w14:paraId="08C7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067A448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2</w:t>
            </w:r>
          </w:p>
        </w:tc>
        <w:tc>
          <w:tcPr>
            <w:tcW w:w="3119" w:type="dxa"/>
            <w:shd w:val="clear" w:color="auto" w:fill="auto"/>
            <w:noWrap w:val="0"/>
            <w:tcMar>
              <w:top w:w="80" w:type="dxa"/>
              <w:left w:w="110" w:type="dxa"/>
              <w:bottom w:w="80" w:type="dxa"/>
              <w:right w:w="110" w:type="dxa"/>
            </w:tcMar>
            <w:vAlign w:val="center"/>
          </w:tcPr>
          <w:p w14:paraId="43E3F75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剪切执行机构</w:t>
            </w:r>
          </w:p>
        </w:tc>
        <w:tc>
          <w:tcPr>
            <w:tcW w:w="4459" w:type="dxa"/>
            <w:shd w:val="clear" w:color="auto" w:fill="auto"/>
            <w:noWrap w:val="0"/>
            <w:tcMar>
              <w:top w:w="80" w:type="dxa"/>
              <w:left w:w="110" w:type="dxa"/>
              <w:bottom w:w="80" w:type="dxa"/>
              <w:right w:w="110" w:type="dxa"/>
            </w:tcMar>
            <w:vAlign w:val="center"/>
          </w:tcPr>
          <w:p w14:paraId="7DF24651">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含两侧剪切油缸、耳轴、连接件及安装支座</w:t>
            </w:r>
          </w:p>
        </w:tc>
      </w:tr>
      <w:tr w14:paraId="5DA0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376D4BE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3</w:t>
            </w:r>
          </w:p>
        </w:tc>
        <w:tc>
          <w:tcPr>
            <w:tcW w:w="3119" w:type="dxa"/>
            <w:shd w:val="clear" w:color="auto" w:fill="auto"/>
            <w:noWrap w:val="0"/>
            <w:tcMar>
              <w:top w:w="80" w:type="dxa"/>
              <w:left w:w="110" w:type="dxa"/>
              <w:bottom w:w="80" w:type="dxa"/>
              <w:right w:w="110" w:type="dxa"/>
            </w:tcMar>
            <w:vAlign w:val="center"/>
          </w:tcPr>
          <w:p w14:paraId="15EE1FF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平动执行机构</w:t>
            </w:r>
          </w:p>
        </w:tc>
        <w:tc>
          <w:tcPr>
            <w:tcW w:w="4459" w:type="dxa"/>
            <w:shd w:val="clear" w:color="auto" w:fill="auto"/>
            <w:noWrap w:val="0"/>
            <w:tcMar>
              <w:top w:w="80" w:type="dxa"/>
              <w:left w:w="110" w:type="dxa"/>
              <w:bottom w:w="80" w:type="dxa"/>
              <w:right w:w="110" w:type="dxa"/>
            </w:tcMar>
            <w:vAlign w:val="center"/>
          </w:tcPr>
          <w:p w14:paraId="61000DC3">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含平动缸、导向件、限位件、缓冲件</w:t>
            </w:r>
          </w:p>
        </w:tc>
      </w:tr>
      <w:tr w14:paraId="06EB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noWrap w:val="0"/>
            <w:tcMar>
              <w:top w:w="80" w:type="dxa"/>
              <w:left w:w="110" w:type="dxa"/>
              <w:bottom w:w="80" w:type="dxa"/>
              <w:right w:w="110" w:type="dxa"/>
            </w:tcMar>
            <w:vAlign w:val="center"/>
          </w:tcPr>
          <w:p w14:paraId="54F0C9E2">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4</w:t>
            </w:r>
          </w:p>
        </w:tc>
        <w:tc>
          <w:tcPr>
            <w:tcW w:w="3119" w:type="dxa"/>
            <w:noWrap w:val="0"/>
            <w:tcMar>
              <w:top w:w="80" w:type="dxa"/>
              <w:left w:w="110" w:type="dxa"/>
              <w:bottom w:w="80" w:type="dxa"/>
              <w:right w:w="110" w:type="dxa"/>
            </w:tcMar>
            <w:vAlign w:val="center"/>
          </w:tcPr>
          <w:p w14:paraId="4C1FC2C3">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压料机构</w:t>
            </w:r>
          </w:p>
        </w:tc>
        <w:tc>
          <w:tcPr>
            <w:tcW w:w="4459" w:type="dxa"/>
            <w:noWrap w:val="0"/>
            <w:tcMar>
              <w:top w:w="80" w:type="dxa"/>
              <w:left w:w="110" w:type="dxa"/>
              <w:bottom w:w="80" w:type="dxa"/>
              <w:right w:w="110" w:type="dxa"/>
            </w:tcMar>
            <w:vAlign w:val="center"/>
          </w:tcPr>
          <w:p w14:paraId="31512555">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含压料装置、连接件及必要调节件</w:t>
            </w:r>
          </w:p>
        </w:tc>
      </w:tr>
      <w:tr w14:paraId="3FF0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458C0AB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5</w:t>
            </w:r>
          </w:p>
        </w:tc>
        <w:tc>
          <w:tcPr>
            <w:tcW w:w="3119" w:type="dxa"/>
            <w:shd w:val="clear" w:color="auto" w:fill="auto"/>
            <w:noWrap w:val="0"/>
            <w:tcMar>
              <w:top w:w="80" w:type="dxa"/>
              <w:left w:w="110" w:type="dxa"/>
              <w:bottom w:w="80" w:type="dxa"/>
              <w:right w:w="110" w:type="dxa"/>
            </w:tcMar>
            <w:vAlign w:val="center"/>
          </w:tcPr>
          <w:p w14:paraId="4BF9D263">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液压阀组</w:t>
            </w:r>
          </w:p>
        </w:tc>
        <w:tc>
          <w:tcPr>
            <w:tcW w:w="4459" w:type="dxa"/>
            <w:shd w:val="clear" w:color="auto" w:fill="auto"/>
            <w:noWrap w:val="0"/>
            <w:tcMar>
              <w:top w:w="80" w:type="dxa"/>
              <w:left w:w="110" w:type="dxa"/>
              <w:bottom w:w="80" w:type="dxa"/>
              <w:right w:w="110" w:type="dxa"/>
            </w:tcMar>
            <w:vAlign w:val="center"/>
          </w:tcPr>
          <w:p w14:paraId="19258B9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采用北京华德品牌或同等品牌，按现场阀台基座接口设计</w:t>
            </w:r>
          </w:p>
        </w:tc>
      </w:tr>
      <w:tr w14:paraId="02DA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3FD22CF5">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6</w:t>
            </w:r>
          </w:p>
        </w:tc>
        <w:tc>
          <w:tcPr>
            <w:tcW w:w="3119" w:type="dxa"/>
            <w:shd w:val="clear" w:color="auto" w:fill="auto"/>
            <w:noWrap w:val="0"/>
            <w:tcMar>
              <w:top w:w="80" w:type="dxa"/>
              <w:left w:w="110" w:type="dxa"/>
              <w:bottom w:w="80" w:type="dxa"/>
              <w:right w:w="110" w:type="dxa"/>
            </w:tcMar>
            <w:vAlign w:val="center"/>
          </w:tcPr>
          <w:p w14:paraId="516748A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液压油管与接头</w:t>
            </w:r>
          </w:p>
        </w:tc>
        <w:tc>
          <w:tcPr>
            <w:tcW w:w="4459" w:type="dxa"/>
            <w:shd w:val="clear" w:color="auto" w:fill="auto"/>
            <w:noWrap w:val="0"/>
            <w:tcMar>
              <w:top w:w="80" w:type="dxa"/>
              <w:left w:w="110" w:type="dxa"/>
              <w:bottom w:w="80" w:type="dxa"/>
              <w:right w:w="110" w:type="dxa"/>
            </w:tcMar>
            <w:vAlign w:val="center"/>
          </w:tcPr>
          <w:p w14:paraId="49FCA495">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含主机相关油管、接头及安装支架</w:t>
            </w:r>
          </w:p>
        </w:tc>
      </w:tr>
      <w:tr w14:paraId="7377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7BDAFD3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7</w:t>
            </w:r>
          </w:p>
        </w:tc>
        <w:tc>
          <w:tcPr>
            <w:tcW w:w="3119" w:type="dxa"/>
            <w:shd w:val="clear" w:color="auto" w:fill="auto"/>
            <w:noWrap w:val="0"/>
            <w:tcMar>
              <w:top w:w="80" w:type="dxa"/>
              <w:left w:w="110" w:type="dxa"/>
              <w:bottom w:w="80" w:type="dxa"/>
              <w:right w:w="110" w:type="dxa"/>
            </w:tcMar>
            <w:vAlign w:val="center"/>
          </w:tcPr>
          <w:p w14:paraId="4757845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电气控制元件</w:t>
            </w:r>
          </w:p>
        </w:tc>
        <w:tc>
          <w:tcPr>
            <w:tcW w:w="4459" w:type="dxa"/>
            <w:shd w:val="clear" w:color="auto" w:fill="auto"/>
            <w:noWrap w:val="0"/>
            <w:tcMar>
              <w:top w:w="80" w:type="dxa"/>
              <w:left w:w="110" w:type="dxa"/>
              <w:bottom w:w="80" w:type="dxa"/>
              <w:right w:w="110" w:type="dxa"/>
            </w:tcMar>
            <w:vAlign w:val="center"/>
          </w:tcPr>
          <w:p w14:paraId="5CFDDE83">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含限位/接近开关、接线盒、现场操作元件及必要电缆</w:t>
            </w:r>
          </w:p>
        </w:tc>
      </w:tr>
      <w:tr w14:paraId="2728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48EEF9E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8</w:t>
            </w:r>
          </w:p>
        </w:tc>
        <w:tc>
          <w:tcPr>
            <w:tcW w:w="3119" w:type="dxa"/>
            <w:shd w:val="clear" w:color="auto" w:fill="auto"/>
            <w:noWrap w:val="0"/>
            <w:tcMar>
              <w:top w:w="80" w:type="dxa"/>
              <w:left w:w="110" w:type="dxa"/>
              <w:bottom w:w="80" w:type="dxa"/>
              <w:right w:w="110" w:type="dxa"/>
            </w:tcMar>
            <w:vAlign w:val="center"/>
          </w:tcPr>
          <w:p w14:paraId="781B100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安全防护件</w:t>
            </w:r>
          </w:p>
        </w:tc>
        <w:tc>
          <w:tcPr>
            <w:tcW w:w="4459" w:type="dxa"/>
            <w:shd w:val="clear" w:color="auto" w:fill="auto"/>
            <w:noWrap w:val="0"/>
            <w:tcMar>
              <w:top w:w="80" w:type="dxa"/>
              <w:left w:w="110" w:type="dxa"/>
              <w:bottom w:w="80" w:type="dxa"/>
              <w:right w:w="110" w:type="dxa"/>
            </w:tcMar>
            <w:vAlign w:val="center"/>
          </w:tcPr>
          <w:p w14:paraId="3A3FF87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含防护罩、警示标识及必要检修挡板</w:t>
            </w:r>
          </w:p>
        </w:tc>
      </w:tr>
      <w:tr w14:paraId="5422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shd w:val="clear" w:color="auto" w:fill="auto"/>
            <w:noWrap w:val="0"/>
            <w:tcMar>
              <w:top w:w="80" w:type="dxa"/>
              <w:left w:w="110" w:type="dxa"/>
              <w:bottom w:w="80" w:type="dxa"/>
              <w:right w:w="110" w:type="dxa"/>
            </w:tcMar>
            <w:vAlign w:val="center"/>
          </w:tcPr>
          <w:p w14:paraId="44799F7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9</w:t>
            </w:r>
          </w:p>
        </w:tc>
        <w:tc>
          <w:tcPr>
            <w:tcW w:w="3119" w:type="dxa"/>
            <w:shd w:val="clear" w:color="auto" w:fill="auto"/>
            <w:noWrap w:val="0"/>
            <w:tcMar>
              <w:top w:w="80" w:type="dxa"/>
              <w:left w:w="110" w:type="dxa"/>
              <w:bottom w:w="80" w:type="dxa"/>
              <w:right w:w="110" w:type="dxa"/>
            </w:tcMar>
            <w:vAlign w:val="center"/>
          </w:tcPr>
          <w:p w14:paraId="23DE147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随机技术资料</w:t>
            </w:r>
          </w:p>
        </w:tc>
        <w:tc>
          <w:tcPr>
            <w:tcW w:w="4459" w:type="dxa"/>
            <w:shd w:val="clear" w:color="auto" w:fill="auto"/>
            <w:noWrap w:val="0"/>
            <w:tcMar>
              <w:top w:w="80" w:type="dxa"/>
              <w:left w:w="110" w:type="dxa"/>
              <w:bottom w:w="80" w:type="dxa"/>
              <w:right w:w="110" w:type="dxa"/>
            </w:tcMar>
            <w:vAlign w:val="center"/>
          </w:tcPr>
          <w:p w14:paraId="4A296BD2">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含液压图、电气图、安装总图、易损件清单、密封型号及部件图</w:t>
            </w:r>
          </w:p>
        </w:tc>
      </w:tr>
    </w:tbl>
    <w:p w14:paraId="3F3147CA">
      <w:pPr>
        <w:widowControl/>
        <w:jc w:val="left"/>
        <w:rPr>
          <w:rFonts w:hint="eastAsia" w:ascii="宋体" w:hAnsi="宋体" w:eastAsia="宋体" w:cs="宋体"/>
          <w:kern w:val="0"/>
          <w:sz w:val="28"/>
          <w:szCs w:val="28"/>
          <w:highlight w:val="none"/>
          <w:lang w:val="en-US" w:eastAsia="zh-CN" w:bidi="ar"/>
        </w:rPr>
      </w:pPr>
      <w:r>
        <w:rPr>
          <w:rFonts w:hint="eastAsia" w:ascii="宋体" w:hAnsi="宋体" w:eastAsia="宋体" w:cs="宋体"/>
          <w:sz w:val="28"/>
          <w:szCs w:val="28"/>
          <w:highlight w:val="none"/>
        </w:rPr>
        <w:t>2.3交货期</w:t>
      </w:r>
      <w:r>
        <w:rPr>
          <w:rFonts w:hint="eastAsia" w:ascii="宋体" w:hAnsi="宋体" w:eastAsia="宋体" w:cs="宋体"/>
          <w:sz w:val="28"/>
          <w:szCs w:val="28"/>
          <w:highlight w:val="none"/>
          <w:lang w:val="en-US" w:eastAsia="zh-CN"/>
        </w:rPr>
        <w:t>/工期</w:t>
      </w:r>
      <w:r>
        <w:rPr>
          <w:rFonts w:hint="eastAsia" w:ascii="宋体" w:hAnsi="宋体" w:eastAsia="宋体" w:cs="宋体"/>
          <w:sz w:val="28"/>
          <w:szCs w:val="28"/>
          <w:highlight w:val="none"/>
        </w:rPr>
        <w:t>：</w:t>
      </w:r>
      <w:r>
        <w:rPr>
          <w:rFonts w:hint="eastAsia" w:ascii="宋体" w:hAnsi="宋体" w:eastAsia="宋体" w:cs="宋体"/>
          <w:kern w:val="0"/>
          <w:sz w:val="28"/>
          <w:szCs w:val="28"/>
          <w:highlight w:val="none"/>
          <w:lang w:val="en-US" w:eastAsia="zh-CN" w:bidi="ar"/>
        </w:rPr>
        <w:t>合同签订后</w:t>
      </w:r>
      <w:r>
        <w:rPr>
          <w:rFonts w:hint="eastAsia" w:ascii="宋体" w:hAnsi="宋体" w:cs="宋体"/>
          <w:kern w:val="0"/>
          <w:sz w:val="28"/>
          <w:szCs w:val="28"/>
          <w:highlight w:val="none"/>
          <w:lang w:val="en-US" w:eastAsia="zh-CN" w:bidi="ar"/>
        </w:rPr>
        <w:t>60</w:t>
      </w:r>
      <w:r>
        <w:rPr>
          <w:rFonts w:hint="eastAsia" w:ascii="宋体" w:hAnsi="宋体" w:eastAsia="宋体" w:cs="宋体"/>
          <w:kern w:val="0"/>
          <w:sz w:val="28"/>
          <w:szCs w:val="28"/>
          <w:highlight w:val="none"/>
          <w:lang w:val="en-US" w:eastAsia="zh-CN" w:bidi="ar"/>
        </w:rPr>
        <w:t>天内</w:t>
      </w:r>
    </w:p>
    <w:p w14:paraId="5ACE165E">
      <w:pPr>
        <w:widowControl/>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2.4交货地点</w:t>
      </w:r>
      <w:r>
        <w:rPr>
          <w:rFonts w:hint="eastAsia" w:ascii="宋体" w:hAnsi="宋体" w:eastAsia="宋体" w:cs="宋体"/>
          <w:sz w:val="28"/>
          <w:szCs w:val="28"/>
          <w:highlight w:val="none"/>
          <w:lang w:val="en-US" w:eastAsia="zh-CN"/>
        </w:rPr>
        <w:t>/项目地点</w:t>
      </w:r>
      <w:r>
        <w:rPr>
          <w:rFonts w:hint="eastAsia" w:ascii="宋体" w:hAnsi="宋体" w:eastAsia="宋体" w:cs="宋体"/>
          <w:sz w:val="28"/>
          <w:szCs w:val="28"/>
          <w:highlight w:val="none"/>
        </w:rPr>
        <w:t>：</w:t>
      </w:r>
      <w:r>
        <w:rPr>
          <w:rFonts w:hint="eastAsia" w:ascii="宋体" w:hAnsi="宋体" w:eastAsia="宋体" w:cs="宋体"/>
          <w:bCs/>
          <w:sz w:val="28"/>
          <w:szCs w:val="28"/>
        </w:rPr>
        <w:t>云南省昆明市阳宗海风景名胜区七甸街道</w:t>
      </w:r>
      <w:r>
        <w:rPr>
          <w:rFonts w:hint="eastAsia" w:ascii="宋体" w:hAnsi="宋体" w:eastAsia="宋体" w:cs="宋体"/>
          <w:bCs/>
          <w:sz w:val="28"/>
          <w:szCs w:val="28"/>
          <w:lang w:val="en-US" w:eastAsia="zh-CN"/>
        </w:rPr>
        <w:t>云南铝业股份有限公司内</w:t>
      </w:r>
      <w:r>
        <w:rPr>
          <w:rFonts w:hint="eastAsia" w:ascii="宋体" w:hAnsi="宋体" w:eastAsia="宋体" w:cs="宋体"/>
          <w:bCs/>
          <w:sz w:val="28"/>
          <w:szCs w:val="28"/>
          <w:lang w:eastAsia="zh-CN"/>
        </w:rPr>
        <w:t>中铝铝箔有限公</w:t>
      </w:r>
      <w:r>
        <w:rPr>
          <w:rFonts w:hint="eastAsia" w:ascii="宋体" w:hAnsi="宋体" w:eastAsia="宋体" w:cs="宋体"/>
          <w:bCs/>
          <w:sz w:val="28"/>
          <w:szCs w:val="28"/>
          <w:highlight w:val="none"/>
          <w:lang w:eastAsia="zh-CN"/>
        </w:rPr>
        <w:t>司</w:t>
      </w:r>
      <w:r>
        <w:rPr>
          <w:rFonts w:hint="eastAsia" w:ascii="宋体" w:hAnsi="宋体" w:cs="宋体"/>
          <w:bCs/>
          <w:sz w:val="28"/>
          <w:szCs w:val="28"/>
          <w:highlight w:val="none"/>
          <w:lang w:val="en-US" w:eastAsia="zh-CN"/>
        </w:rPr>
        <w:t>浩鑫</w:t>
      </w:r>
      <w:r>
        <w:rPr>
          <w:rFonts w:hint="eastAsia" w:ascii="宋体" w:hAnsi="宋体" w:eastAsia="宋体" w:cs="宋体"/>
          <w:bCs/>
          <w:sz w:val="28"/>
          <w:szCs w:val="28"/>
          <w:highlight w:val="none"/>
          <w:lang w:val="en-US" w:eastAsia="zh-CN"/>
        </w:rPr>
        <w:t>厂</w:t>
      </w:r>
      <w:r>
        <w:rPr>
          <w:rFonts w:hint="eastAsia" w:ascii="宋体" w:hAnsi="宋体" w:eastAsia="宋体" w:cs="宋体"/>
          <w:bCs/>
          <w:color w:val="000000"/>
          <w:sz w:val="28"/>
          <w:szCs w:val="28"/>
        </w:rPr>
        <w:t>。</w:t>
      </w:r>
    </w:p>
    <w:p w14:paraId="7B6194EA">
      <w:pPr>
        <w:widowControl/>
        <w:jc w:val="left"/>
        <w:rPr>
          <w:rFonts w:hint="default" w:ascii="宋体" w:hAnsi="宋体" w:eastAsia="宋体" w:cs="宋体"/>
          <w:kern w:val="0"/>
          <w:sz w:val="28"/>
          <w:szCs w:val="28"/>
          <w:lang w:val="en-US" w:eastAsia="zh-CN" w:bidi="ar"/>
        </w:rPr>
      </w:pPr>
      <w:r>
        <w:rPr>
          <w:rFonts w:hint="eastAsia" w:ascii="宋体" w:hAnsi="宋体" w:eastAsia="宋体" w:cs="Times New Roman"/>
          <w:color w:val="auto"/>
          <w:kern w:val="2"/>
          <w:sz w:val="28"/>
          <w:szCs w:val="28"/>
          <w:highlight w:val="none"/>
          <w:lang w:val="en-US" w:eastAsia="zh-CN" w:bidi="ar-SA"/>
        </w:rPr>
        <w:t>2.5供货要求：满足附件3《浩鑫厂铸轧2号机剪刀改造技术文件》</w:t>
      </w:r>
    </w:p>
    <w:p w14:paraId="6B857354">
      <w:pPr>
        <w:pStyle w:val="20"/>
        <w:numPr>
          <w:ilvl w:val="0"/>
          <w:numId w:val="0"/>
        </w:numPr>
        <w:rPr>
          <w:rFonts w:hint="eastAsia"/>
          <w:lang w:eastAsia="zh-CN"/>
        </w:rPr>
      </w:pPr>
      <w:bookmarkStart w:id="4" w:name="_Toc517804006"/>
      <w:bookmarkStart w:id="5" w:name="_Toc16095"/>
      <w:bookmarkStart w:id="6" w:name="_Toc53565726"/>
      <w:bookmarkStart w:id="7" w:name="_Toc32458"/>
      <w:r>
        <w:rPr>
          <w:rFonts w:hint="eastAsia"/>
          <w:sz w:val="28"/>
          <w:szCs w:val="28"/>
          <w:lang w:val="en-US" w:eastAsia="zh-CN"/>
        </w:rPr>
        <w:t>3.</w:t>
      </w:r>
      <w:r>
        <w:rPr>
          <w:rFonts w:hint="eastAsia"/>
          <w:sz w:val="28"/>
          <w:szCs w:val="28"/>
          <w:lang w:eastAsia="zh-CN"/>
        </w:rPr>
        <w:t>供应商资格要求</w:t>
      </w:r>
      <w:bookmarkEnd w:id="4"/>
      <w:bookmarkEnd w:id="5"/>
      <w:bookmarkEnd w:id="6"/>
      <w:bookmarkEnd w:id="7"/>
    </w:p>
    <w:tbl>
      <w:tblPr>
        <w:tblStyle w:val="1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7138"/>
      </w:tblGrid>
      <w:tr w14:paraId="13EA4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654162CF">
            <w:pPr>
              <w:rPr>
                <w:rFonts w:hint="eastAsia" w:ascii="宋体" w:hAnsi="宋体" w:eastAsia="宋体"/>
                <w:sz w:val="24"/>
                <w:szCs w:val="24"/>
                <w:highlight w:val="none"/>
                <w:lang w:eastAsia="zh-CN"/>
              </w:rPr>
            </w:pPr>
            <w:r>
              <w:rPr>
                <w:rFonts w:ascii="宋体" w:hAnsi="宋体"/>
                <w:sz w:val="24"/>
                <w:szCs w:val="24"/>
                <w:highlight w:val="none"/>
              </w:rPr>
              <w:t>资质要求</w:t>
            </w:r>
          </w:p>
        </w:tc>
        <w:tc>
          <w:tcPr>
            <w:tcW w:w="4188" w:type="pct"/>
            <w:vAlign w:val="center"/>
          </w:tcPr>
          <w:p w14:paraId="13D1E4FE">
            <w:pPr>
              <w:spacing w:line="460" w:lineRule="exact"/>
              <w:rPr>
                <w:rFonts w:hint="eastAsia" w:ascii="宋体" w:hAnsi="宋体"/>
                <w:sz w:val="24"/>
                <w:szCs w:val="24"/>
                <w:highlight w:val="none"/>
              </w:rPr>
            </w:pPr>
            <w:r>
              <w:rPr>
                <w:rFonts w:hint="eastAsia" w:ascii="宋体" w:hAnsi="宋体"/>
                <w:sz w:val="24"/>
                <w:szCs w:val="24"/>
                <w:highlight w:val="none"/>
              </w:rPr>
              <w:t>供应商应在中华人民共和国境内注册，具有独立法人资格和合法经营资格。提供营业执照扫描件。</w:t>
            </w:r>
          </w:p>
          <w:p w14:paraId="2EB63FD1">
            <w:pPr>
              <w:spacing w:line="460" w:lineRule="exact"/>
              <w:rPr>
                <w:rFonts w:hint="eastAsia" w:ascii="宋体" w:hAnsi="宋体"/>
                <w:sz w:val="24"/>
                <w:szCs w:val="24"/>
                <w:highlight w:val="none"/>
              </w:rPr>
            </w:pPr>
            <w:r>
              <w:rPr>
                <w:rFonts w:hint="eastAsia" w:ascii="宋体" w:hAnsi="宋体"/>
                <w:sz w:val="24"/>
                <w:szCs w:val="24"/>
                <w:highlight w:val="none"/>
              </w:rPr>
              <w:t>提供没有处于被责令停业，财产被接管、冻结及破产状态的承诺书；</w:t>
            </w:r>
          </w:p>
          <w:p w14:paraId="0492E4FA">
            <w:pPr>
              <w:spacing w:line="460" w:lineRule="exact"/>
              <w:rPr>
                <w:rFonts w:hint="eastAsia" w:ascii="宋体" w:hAnsi="宋体"/>
                <w:sz w:val="24"/>
                <w:szCs w:val="24"/>
                <w:highlight w:val="none"/>
              </w:rPr>
            </w:pPr>
            <w:r>
              <w:rPr>
                <w:rFonts w:hint="eastAsia" w:ascii="宋体" w:hAnsi="宋体"/>
                <w:sz w:val="24"/>
                <w:szCs w:val="24"/>
                <w:highlight w:val="none"/>
              </w:rPr>
              <w:t xml:space="preserve">提供具有履行合同所必须的资格证书； </w:t>
            </w:r>
          </w:p>
          <w:p w14:paraId="18995A08">
            <w:pPr>
              <w:spacing w:line="460" w:lineRule="exact"/>
              <w:rPr>
                <w:rFonts w:hint="eastAsia" w:ascii="宋体" w:hAnsi="宋体"/>
                <w:sz w:val="24"/>
                <w:szCs w:val="24"/>
                <w:highlight w:val="none"/>
              </w:rPr>
            </w:pPr>
            <w:r>
              <w:rPr>
                <w:rFonts w:hint="eastAsia" w:ascii="宋体" w:hAnsi="宋体"/>
                <w:sz w:val="24"/>
                <w:szCs w:val="24"/>
                <w:highlight w:val="none"/>
              </w:rPr>
              <w:t>供应商提供的产品应具有符合国家、行业相关规定要求的许可证、强制认证（如有）、标志证书、产品合格证、产品检测、检验报告等，应答人需根据国家、行业对产品的相关规定和本次</w:t>
            </w:r>
            <w:r>
              <w:rPr>
                <w:rFonts w:hint="eastAsia" w:ascii="宋体" w:hAnsi="宋体"/>
                <w:sz w:val="24"/>
                <w:szCs w:val="24"/>
                <w:highlight w:val="none"/>
                <w:lang w:eastAsia="zh-CN"/>
              </w:rPr>
              <w:t>竞价</w:t>
            </w:r>
            <w:r>
              <w:rPr>
                <w:rFonts w:hint="eastAsia" w:ascii="宋体" w:hAnsi="宋体"/>
                <w:sz w:val="24"/>
                <w:szCs w:val="24"/>
                <w:highlight w:val="none"/>
              </w:rPr>
              <w:t>采购货物的要求提供相应的资格文件扫描件。</w:t>
            </w:r>
          </w:p>
        </w:tc>
      </w:tr>
      <w:tr w14:paraId="481E4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19F5A4AA">
            <w:pPr>
              <w:rPr>
                <w:rFonts w:ascii="宋体" w:hAnsi="宋体"/>
                <w:sz w:val="24"/>
                <w:szCs w:val="24"/>
                <w:highlight w:val="none"/>
              </w:rPr>
            </w:pPr>
            <w:r>
              <w:rPr>
                <w:rFonts w:ascii="宋体" w:hAnsi="宋体"/>
                <w:sz w:val="24"/>
                <w:szCs w:val="24"/>
                <w:highlight w:val="none"/>
              </w:rPr>
              <w:t>财务要求</w:t>
            </w:r>
          </w:p>
        </w:tc>
        <w:tc>
          <w:tcPr>
            <w:tcW w:w="4188" w:type="pct"/>
            <w:vAlign w:val="center"/>
          </w:tcPr>
          <w:p w14:paraId="1A55725B">
            <w:pPr>
              <w:spacing w:line="460" w:lineRule="exact"/>
              <w:rPr>
                <w:rFonts w:hint="eastAsia" w:ascii="宋体" w:hAnsi="宋体"/>
                <w:sz w:val="24"/>
                <w:szCs w:val="24"/>
                <w:highlight w:val="none"/>
              </w:rPr>
            </w:pPr>
            <w:r>
              <w:rPr>
                <w:rFonts w:hint="eastAsia" w:ascii="宋体" w:hAnsi="宋体"/>
                <w:sz w:val="24"/>
                <w:szCs w:val="24"/>
                <w:highlight w:val="none"/>
              </w:rPr>
              <w:t>供应商</w:t>
            </w:r>
            <w:r>
              <w:rPr>
                <w:rFonts w:hint="default" w:ascii="宋体" w:hAnsi="宋体"/>
                <w:sz w:val="24"/>
                <w:szCs w:val="24"/>
                <w:highlight w:val="none"/>
              </w:rPr>
              <w:t>应具有良好的财务状况，没有处于被责令停业、财产被接管、破产或其它关、停、并、转等状态，有足够的流动资金承担本项目的实施</w:t>
            </w:r>
            <w:r>
              <w:rPr>
                <w:rFonts w:hint="eastAsia" w:ascii="宋体" w:hAnsi="宋体"/>
                <w:sz w:val="24"/>
                <w:szCs w:val="24"/>
                <w:highlight w:val="none"/>
                <w:lang w:eastAsia="zh-CN"/>
              </w:rPr>
              <w:t>。（</w:t>
            </w:r>
            <w:r>
              <w:rPr>
                <w:rFonts w:hint="default" w:ascii="宋体" w:hAnsi="宋体"/>
                <w:sz w:val="24"/>
                <w:szCs w:val="24"/>
                <w:highlight w:val="none"/>
              </w:rPr>
              <w:t>提供承诺书</w:t>
            </w:r>
            <w:r>
              <w:rPr>
                <w:rFonts w:hint="eastAsia" w:ascii="宋体" w:hAnsi="宋体"/>
                <w:sz w:val="24"/>
                <w:szCs w:val="24"/>
                <w:highlight w:val="none"/>
                <w:lang w:eastAsia="zh-CN"/>
              </w:rPr>
              <w:t>）</w:t>
            </w:r>
          </w:p>
        </w:tc>
      </w:tr>
      <w:tr w14:paraId="34715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72022CFB">
            <w:pPr>
              <w:spacing w:line="460" w:lineRule="exact"/>
              <w:rPr>
                <w:rFonts w:ascii="宋体" w:hAnsi="宋体"/>
                <w:sz w:val="24"/>
                <w:szCs w:val="24"/>
                <w:highlight w:val="none"/>
              </w:rPr>
            </w:pPr>
            <w:r>
              <w:rPr>
                <w:rFonts w:ascii="宋体" w:hAnsi="宋体"/>
                <w:sz w:val="24"/>
                <w:szCs w:val="24"/>
                <w:highlight w:val="none"/>
              </w:rPr>
              <w:t>业绩要求</w:t>
            </w:r>
          </w:p>
        </w:tc>
        <w:tc>
          <w:tcPr>
            <w:tcW w:w="4188" w:type="pct"/>
            <w:vAlign w:val="center"/>
          </w:tcPr>
          <w:p w14:paraId="054ED26B">
            <w:pPr>
              <w:spacing w:line="460" w:lineRule="exact"/>
              <w:rPr>
                <w:rFonts w:hint="eastAsia" w:ascii="宋体" w:hAnsi="宋体"/>
                <w:sz w:val="24"/>
                <w:szCs w:val="24"/>
                <w:highlight w:val="none"/>
              </w:rPr>
            </w:pPr>
            <w:r>
              <w:rPr>
                <w:rFonts w:hint="eastAsia" w:ascii="宋体" w:hAnsi="宋体"/>
                <w:sz w:val="24"/>
                <w:szCs w:val="24"/>
                <w:highlight w:val="none"/>
              </w:rPr>
              <w:t>供应商202</w:t>
            </w:r>
            <w:r>
              <w:rPr>
                <w:rFonts w:hint="eastAsia" w:ascii="宋体" w:hAnsi="宋体"/>
                <w:sz w:val="24"/>
                <w:szCs w:val="24"/>
                <w:highlight w:val="none"/>
                <w:lang w:val="en-US" w:eastAsia="zh-CN"/>
              </w:rPr>
              <w:t>4</w:t>
            </w:r>
            <w:r>
              <w:rPr>
                <w:rFonts w:hint="eastAsia" w:ascii="宋体" w:hAnsi="宋体"/>
                <w:sz w:val="24"/>
                <w:szCs w:val="24"/>
                <w:highlight w:val="none"/>
              </w:rPr>
              <w:t>年1月至今具有不少于1个类似业绩，以合同签署日期为准，提供合同复印件。</w:t>
            </w:r>
          </w:p>
        </w:tc>
      </w:tr>
      <w:tr w14:paraId="77C74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7F6EB24E">
            <w:pPr>
              <w:spacing w:line="460" w:lineRule="exact"/>
              <w:rPr>
                <w:rFonts w:ascii="宋体" w:hAnsi="宋体"/>
                <w:sz w:val="24"/>
                <w:szCs w:val="24"/>
                <w:highlight w:val="none"/>
              </w:rPr>
            </w:pPr>
            <w:r>
              <w:rPr>
                <w:rFonts w:ascii="宋体" w:hAnsi="宋体"/>
                <w:sz w:val="24"/>
                <w:szCs w:val="24"/>
                <w:highlight w:val="none"/>
              </w:rPr>
              <w:t>信誉要求</w:t>
            </w:r>
          </w:p>
        </w:tc>
        <w:tc>
          <w:tcPr>
            <w:tcW w:w="4188" w:type="pct"/>
            <w:vAlign w:val="center"/>
          </w:tcPr>
          <w:p w14:paraId="6F37C93C">
            <w:pPr>
              <w:spacing w:line="460" w:lineRule="exact"/>
              <w:rPr>
                <w:rFonts w:hint="eastAsia" w:ascii="宋体" w:hAnsi="宋体"/>
                <w:sz w:val="24"/>
                <w:szCs w:val="24"/>
                <w:highlight w:val="none"/>
              </w:rPr>
            </w:pPr>
            <w:r>
              <w:rPr>
                <w:rFonts w:hint="eastAsia" w:ascii="宋体" w:hAnsi="宋体"/>
                <w:sz w:val="24"/>
                <w:szCs w:val="24"/>
                <w:highlight w:val="none"/>
              </w:rPr>
              <w:t>1.供应商有依法缴纳税收和社会保障资金的良好记录，参加本次</w:t>
            </w:r>
            <w:r>
              <w:rPr>
                <w:rFonts w:hint="eastAsia" w:ascii="宋体" w:hAnsi="宋体"/>
                <w:sz w:val="24"/>
                <w:szCs w:val="24"/>
                <w:highlight w:val="none"/>
                <w:lang w:eastAsia="zh-CN"/>
              </w:rPr>
              <w:t>竞价</w:t>
            </w:r>
            <w:r>
              <w:rPr>
                <w:rFonts w:hint="eastAsia" w:ascii="宋体" w:hAnsi="宋体"/>
                <w:sz w:val="24"/>
                <w:szCs w:val="24"/>
                <w:highlight w:val="none"/>
              </w:rPr>
              <w:t>前三年内，在经营活动中没有重大违法记录，未发生重大质量、环境、安全事故，并出具承诺书。</w:t>
            </w:r>
          </w:p>
          <w:p w14:paraId="3E052EE4">
            <w:pPr>
              <w:spacing w:line="460" w:lineRule="exact"/>
              <w:rPr>
                <w:rFonts w:hint="eastAsia" w:ascii="宋体" w:hAnsi="宋体"/>
                <w:sz w:val="24"/>
                <w:szCs w:val="24"/>
                <w:highlight w:val="none"/>
              </w:rPr>
            </w:pPr>
            <w:r>
              <w:rPr>
                <w:rFonts w:hint="eastAsia" w:ascii="宋体" w:hAnsi="宋体"/>
                <w:sz w:val="24"/>
                <w:szCs w:val="24"/>
                <w:highlight w:val="none"/>
              </w:rPr>
              <w:t>2.供应商在项目评审期间不存在被列为失信被执行人的情形，具体认定以全国法院失信被执行人名单信息公布与查询网(http://zxgk.court.gov.cn/)和信用中国(https://www.creditchina.gov.cn/）网站检索结果为准。</w:t>
            </w:r>
          </w:p>
        </w:tc>
      </w:tr>
      <w:tr w14:paraId="37AC7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00AB5614">
            <w:pPr>
              <w:spacing w:line="460" w:lineRule="exact"/>
              <w:rPr>
                <w:rFonts w:ascii="宋体" w:hAnsi="宋体"/>
                <w:sz w:val="24"/>
                <w:szCs w:val="24"/>
                <w:highlight w:val="none"/>
              </w:rPr>
            </w:pPr>
            <w:r>
              <w:rPr>
                <w:rFonts w:ascii="宋体" w:hAnsi="宋体"/>
                <w:sz w:val="24"/>
                <w:szCs w:val="24"/>
                <w:highlight w:val="none"/>
              </w:rPr>
              <w:t>其他要求</w:t>
            </w:r>
          </w:p>
        </w:tc>
        <w:tc>
          <w:tcPr>
            <w:tcW w:w="4188" w:type="pct"/>
            <w:vAlign w:val="center"/>
          </w:tcPr>
          <w:p w14:paraId="34FE1FB1">
            <w:pPr>
              <w:spacing w:line="460" w:lineRule="exact"/>
              <w:rPr>
                <w:rFonts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接受或</w:t>
            </w:r>
            <w:r>
              <w:rPr>
                <w:rFonts w:hint="eastAsia" w:ascii="宋体" w:hAnsi="宋体"/>
                <w:sz w:val="24"/>
                <w:szCs w:val="24"/>
                <w:highlight w:val="none"/>
              </w:rPr>
              <w:t>不接受联合体参与谈判。</w:t>
            </w:r>
          </w:p>
          <w:p w14:paraId="687F5FED">
            <w:pPr>
              <w:spacing w:line="460" w:lineRule="exact"/>
              <w:rPr>
                <w:rFonts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接受或</w:t>
            </w:r>
            <w:r>
              <w:rPr>
                <w:rFonts w:hint="eastAsia" w:ascii="宋体" w:hAnsi="宋体"/>
                <w:sz w:val="24"/>
                <w:szCs w:val="24"/>
                <w:highlight w:val="none"/>
              </w:rPr>
              <w:t>不接受代理商参与谈判。</w:t>
            </w:r>
          </w:p>
        </w:tc>
      </w:tr>
    </w:tbl>
    <w:p w14:paraId="296AA52F">
      <w:pPr>
        <w:pStyle w:val="20"/>
        <w:rPr>
          <w:sz w:val="28"/>
          <w:szCs w:val="28"/>
          <w:lang w:eastAsia="zh-CN"/>
        </w:rPr>
      </w:pPr>
      <w:bookmarkStart w:id="8" w:name="_Toc24504"/>
      <w:bookmarkStart w:id="9" w:name="_Toc5180"/>
      <w:r>
        <w:rPr>
          <w:rFonts w:hint="eastAsia"/>
          <w:sz w:val="28"/>
          <w:szCs w:val="28"/>
          <w:lang w:eastAsia="zh-CN"/>
        </w:rPr>
        <w:t>4.</w:t>
      </w:r>
      <w:r>
        <w:rPr>
          <w:rFonts w:hint="eastAsia"/>
          <w:sz w:val="28"/>
          <w:szCs w:val="28"/>
          <w:lang w:val="en-US" w:eastAsia="zh-CN"/>
        </w:rPr>
        <w:t>采购/处置</w:t>
      </w:r>
      <w:r>
        <w:rPr>
          <w:rFonts w:hint="eastAsia"/>
          <w:sz w:val="28"/>
          <w:szCs w:val="28"/>
          <w:lang w:eastAsia="zh-CN"/>
        </w:rPr>
        <w:t>文件的获取</w:t>
      </w:r>
      <w:bookmarkEnd w:id="8"/>
      <w:bookmarkEnd w:id="9"/>
    </w:p>
    <w:p w14:paraId="749366E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840" w:firstLineChars="300"/>
        <w:jc w:val="left"/>
        <w:rPr>
          <w:rFonts w:hint="eastAsia" w:ascii="宋体" w:hAnsi="宋体" w:cs="宋体"/>
          <w:color w:val="000000"/>
          <w:sz w:val="28"/>
          <w:szCs w:val="28"/>
        </w:rPr>
      </w:pPr>
      <w:r>
        <w:rPr>
          <w:rFonts w:hint="eastAsia" w:ascii="宋体" w:hAnsi="宋体" w:cs="宋体"/>
          <w:color w:val="000000"/>
          <w:sz w:val="28"/>
          <w:szCs w:val="28"/>
        </w:rPr>
        <w:t>1</w:t>
      </w:r>
      <w:r>
        <w:rPr>
          <w:rFonts w:hint="eastAsia" w:ascii="宋体" w:hAnsi="宋体" w:cs="宋体"/>
          <w:color w:val="000000"/>
          <w:sz w:val="28"/>
          <w:szCs w:val="28"/>
          <w:lang w:eastAsia="zh-CN"/>
        </w:rPr>
        <w:t>、</w:t>
      </w:r>
      <w:r>
        <w:rPr>
          <w:rFonts w:hint="eastAsia" w:ascii="宋体" w:hAnsi="宋体" w:cs="宋体"/>
          <w:color w:val="000000"/>
          <w:sz w:val="28"/>
          <w:szCs w:val="28"/>
        </w:rPr>
        <w:t>登陆中铝铝箔有限公司官网（https://zllb.chinalco.com.cn/）下载；</w:t>
      </w:r>
    </w:p>
    <w:p w14:paraId="4C86FAD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840" w:firstLineChars="300"/>
        <w:jc w:val="left"/>
        <w:rPr>
          <w:rFonts w:hint="eastAsia" w:ascii="宋体" w:hAnsi="宋体" w:cs="宋体"/>
          <w:color w:val="000000"/>
          <w:sz w:val="28"/>
          <w:szCs w:val="28"/>
        </w:rPr>
      </w:pPr>
      <w:r>
        <w:rPr>
          <w:rFonts w:hint="eastAsia" w:ascii="宋体" w:hAnsi="宋体" w:cs="宋体"/>
          <w:color w:val="000000"/>
          <w:sz w:val="28"/>
          <w:szCs w:val="28"/>
        </w:rPr>
        <w:t>2</w:t>
      </w:r>
      <w:r>
        <w:rPr>
          <w:rFonts w:hint="eastAsia" w:ascii="宋体" w:hAnsi="宋体" w:cs="宋体"/>
          <w:color w:val="000000"/>
          <w:sz w:val="28"/>
          <w:szCs w:val="28"/>
          <w:lang w:eastAsia="zh-CN"/>
        </w:rPr>
        <w:t>、</w:t>
      </w:r>
      <w:r>
        <w:rPr>
          <w:rFonts w:hint="eastAsia" w:ascii="宋体" w:hAnsi="宋体" w:cs="宋体"/>
          <w:color w:val="000000"/>
          <w:sz w:val="28"/>
          <w:szCs w:val="28"/>
        </w:rPr>
        <w:t>联系</w:t>
      </w:r>
      <w:r>
        <w:rPr>
          <w:rFonts w:hint="eastAsia" w:ascii="宋体" w:hAnsi="宋体" w:cs="宋体"/>
          <w:color w:val="000000"/>
          <w:sz w:val="28"/>
          <w:szCs w:val="28"/>
          <w:lang w:val="en-US" w:eastAsia="zh-CN"/>
        </w:rPr>
        <w:t>采购</w:t>
      </w:r>
      <w:r>
        <w:rPr>
          <w:rFonts w:hint="eastAsia" w:ascii="宋体" w:hAnsi="宋体" w:cs="宋体"/>
          <w:color w:val="000000"/>
          <w:sz w:val="28"/>
          <w:szCs w:val="28"/>
        </w:rPr>
        <w:t>人获取。</w:t>
      </w:r>
    </w:p>
    <w:p w14:paraId="2184002C">
      <w:pPr>
        <w:pStyle w:val="20"/>
        <w:rPr>
          <w:sz w:val="28"/>
          <w:szCs w:val="28"/>
          <w:lang w:eastAsia="zh-CN"/>
        </w:rPr>
      </w:pPr>
      <w:bookmarkStart w:id="10" w:name="_Toc2598"/>
      <w:bookmarkStart w:id="11" w:name="_Toc152"/>
      <w:r>
        <w:rPr>
          <w:rFonts w:hint="eastAsia"/>
          <w:sz w:val="28"/>
          <w:szCs w:val="28"/>
          <w:lang w:eastAsia="zh-CN"/>
        </w:rPr>
        <w:t>5.响应文件的递交</w:t>
      </w:r>
      <w:bookmarkEnd w:id="10"/>
      <w:bookmarkEnd w:id="11"/>
    </w:p>
    <w:p w14:paraId="0350CE57">
      <w:pPr>
        <w:pStyle w:val="18"/>
        <w:rPr>
          <w:rFonts w:hint="eastAsia" w:cs="宋体"/>
          <w:sz w:val="28"/>
          <w:szCs w:val="28"/>
        </w:rPr>
      </w:pPr>
      <w:r>
        <w:rPr>
          <w:rFonts w:hint="eastAsia" w:cs="宋体"/>
          <w:sz w:val="28"/>
          <w:szCs w:val="28"/>
        </w:rPr>
        <w:t>5.1响应文件递交截止时间：</w:t>
      </w:r>
      <w:r>
        <w:rPr>
          <w:rFonts w:hint="eastAsia" w:cs="宋体"/>
          <w:sz w:val="28"/>
          <w:szCs w:val="28"/>
          <w:highlight w:val="none"/>
        </w:rPr>
        <w:t>202</w:t>
      </w:r>
      <w:r>
        <w:rPr>
          <w:rFonts w:hint="eastAsia" w:cs="宋体"/>
          <w:sz w:val="28"/>
          <w:szCs w:val="28"/>
          <w:highlight w:val="none"/>
          <w:lang w:val="en-US" w:eastAsia="zh-CN"/>
        </w:rPr>
        <w:t>6</w:t>
      </w:r>
      <w:r>
        <w:rPr>
          <w:rFonts w:hint="eastAsia" w:cs="宋体"/>
          <w:sz w:val="28"/>
          <w:szCs w:val="28"/>
          <w:highlight w:val="none"/>
        </w:rPr>
        <w:t>年</w:t>
      </w:r>
      <w:r>
        <w:rPr>
          <w:rFonts w:hint="eastAsia" w:cs="宋体"/>
          <w:sz w:val="28"/>
          <w:szCs w:val="28"/>
          <w:highlight w:val="none"/>
          <w:lang w:val="en-US" w:eastAsia="zh-CN"/>
        </w:rPr>
        <w:t xml:space="preserve">8 </w:t>
      </w:r>
      <w:r>
        <w:rPr>
          <w:rFonts w:hint="eastAsia" w:cs="宋体"/>
          <w:sz w:val="28"/>
          <w:szCs w:val="28"/>
          <w:highlight w:val="none"/>
        </w:rPr>
        <w:t>月</w:t>
      </w:r>
      <w:r>
        <w:rPr>
          <w:rFonts w:hint="eastAsia" w:cs="宋体"/>
          <w:sz w:val="28"/>
          <w:szCs w:val="28"/>
          <w:highlight w:val="none"/>
          <w:lang w:val="en-US" w:eastAsia="zh-CN"/>
        </w:rPr>
        <w:t xml:space="preserve">24 </w:t>
      </w:r>
      <w:r>
        <w:rPr>
          <w:rFonts w:hint="eastAsia" w:cs="宋体"/>
          <w:sz w:val="28"/>
          <w:szCs w:val="28"/>
          <w:highlight w:val="none"/>
        </w:rPr>
        <w:t>日</w:t>
      </w:r>
      <w:r>
        <w:rPr>
          <w:rFonts w:hint="eastAsia" w:cs="宋体"/>
          <w:sz w:val="28"/>
          <w:szCs w:val="28"/>
          <w:highlight w:val="none"/>
          <w:lang w:val="en-US" w:eastAsia="zh-CN"/>
        </w:rPr>
        <w:t>17</w:t>
      </w:r>
      <w:r>
        <w:rPr>
          <w:rFonts w:hint="eastAsia" w:cs="宋体"/>
          <w:sz w:val="28"/>
          <w:szCs w:val="28"/>
          <w:highlight w:val="none"/>
        </w:rPr>
        <w:t>:</w:t>
      </w:r>
      <w:r>
        <w:rPr>
          <w:rFonts w:hint="eastAsia" w:cs="宋体"/>
          <w:sz w:val="28"/>
          <w:szCs w:val="28"/>
          <w:highlight w:val="none"/>
          <w:lang w:val="en-US" w:eastAsia="zh-CN"/>
        </w:rPr>
        <w:t>00</w:t>
      </w:r>
      <w:r>
        <w:rPr>
          <w:rFonts w:hint="eastAsia" w:cs="宋体"/>
          <w:sz w:val="28"/>
          <w:szCs w:val="28"/>
        </w:rPr>
        <w:t>（北京时间）。</w:t>
      </w:r>
    </w:p>
    <w:p w14:paraId="642E4387">
      <w:pPr>
        <w:widowControl/>
        <w:jc w:val="left"/>
        <w:rPr>
          <w:rFonts w:hint="eastAsia" w:ascii="宋体" w:hAnsi="宋体" w:cs="宋体"/>
          <w:sz w:val="28"/>
          <w:szCs w:val="28"/>
        </w:rPr>
      </w:pPr>
      <w:r>
        <w:rPr>
          <w:rFonts w:hint="eastAsia" w:ascii="宋体" w:hAnsi="宋体" w:cs="宋体"/>
          <w:sz w:val="28"/>
          <w:szCs w:val="28"/>
        </w:rPr>
        <w:t>5.2响应文件递交方式：</w:t>
      </w:r>
      <w:r>
        <w:rPr>
          <w:rFonts w:hint="eastAsia" w:ascii="宋体" w:hAnsi="宋体" w:cs="宋体"/>
          <w:sz w:val="28"/>
          <w:szCs w:val="28"/>
          <w:lang w:val="en-US" w:eastAsia="zh-CN"/>
        </w:rPr>
        <w:t>现场提交或</w:t>
      </w:r>
      <w:r>
        <w:rPr>
          <w:rFonts w:hint="eastAsia" w:ascii="宋体" w:hAnsi="宋体" w:cs="宋体"/>
          <w:sz w:val="28"/>
          <w:szCs w:val="28"/>
          <w:highlight w:val="none"/>
          <w:lang w:val="en-US" w:eastAsia="zh-CN"/>
        </w:rPr>
        <w:t>密封邮寄或将响应文件加密后以PDF格式发送至邮箱：2633412334@qq.com</w:t>
      </w:r>
      <w:r>
        <w:rPr>
          <w:rFonts w:ascii="宋体" w:hAnsi="宋体" w:eastAsia="宋体" w:cs="宋体"/>
          <w:kern w:val="0"/>
          <w:sz w:val="28"/>
          <w:szCs w:val="28"/>
          <w:lang w:val="en-US" w:eastAsia="zh-CN" w:bidi="ar"/>
        </w:rPr>
        <w:t>（邮寄以签收时间为准）</w:t>
      </w:r>
    </w:p>
    <w:p w14:paraId="22BB4B40">
      <w:pPr>
        <w:pStyle w:val="18"/>
        <w:rPr>
          <w:rFonts w:hint="eastAsia" w:eastAsia="宋体" w:cs="宋体"/>
          <w:sz w:val="28"/>
          <w:szCs w:val="28"/>
          <w:lang w:val="en-US" w:eastAsia="zh-CN"/>
        </w:rPr>
      </w:pPr>
      <w:r>
        <w:rPr>
          <w:rFonts w:hint="eastAsia" w:cs="宋体"/>
          <w:sz w:val="28"/>
          <w:szCs w:val="28"/>
        </w:rPr>
        <w:t>5.3响应文件递交地点：</w:t>
      </w:r>
      <w:r>
        <w:rPr>
          <w:rFonts w:hint="eastAsia"/>
          <w:sz w:val="28"/>
          <w:szCs w:val="28"/>
        </w:rPr>
        <w:t>云南省昆明市呈贡区云南铝业股份有限公司内。</w:t>
      </w:r>
    </w:p>
    <w:p w14:paraId="00D11CC2">
      <w:pPr>
        <w:pStyle w:val="18"/>
        <w:rPr>
          <w:rFonts w:hint="eastAsia" w:cs="宋体"/>
          <w:sz w:val="28"/>
          <w:szCs w:val="28"/>
        </w:rPr>
      </w:pPr>
      <w:r>
        <w:rPr>
          <w:rFonts w:hint="eastAsia" w:cs="宋体"/>
          <w:sz w:val="28"/>
          <w:szCs w:val="28"/>
        </w:rPr>
        <w:t>5.4逾期递交、未按照要求递交的响应文件，采购人将拒绝接收。</w:t>
      </w:r>
    </w:p>
    <w:p w14:paraId="5FE13D52">
      <w:pPr>
        <w:pStyle w:val="18"/>
        <w:rPr>
          <w:rFonts w:hint="eastAsia" w:ascii="宋体" w:hAnsi="宋体" w:eastAsia="宋体" w:cs="Times New Roman"/>
          <w:kern w:val="2"/>
          <w:sz w:val="28"/>
          <w:szCs w:val="28"/>
          <w:lang w:val="en-US" w:eastAsia="zh-CN" w:bidi="ar-SA"/>
        </w:rPr>
      </w:pPr>
      <w:r>
        <w:rPr>
          <w:rFonts w:hint="eastAsia" w:ascii="宋体" w:hAnsi="宋体" w:eastAsia="宋体" w:cs="Times New Roman"/>
          <w:color w:val="auto"/>
          <w:kern w:val="2"/>
          <w:sz w:val="28"/>
          <w:szCs w:val="28"/>
          <w:highlight w:val="none"/>
          <w:lang w:val="en-US" w:eastAsia="zh-CN" w:bidi="ar-SA"/>
        </w:rPr>
        <w:t>5.5其他：</w:t>
      </w:r>
    </w:p>
    <w:p w14:paraId="6FDF7FB4">
      <w:pPr>
        <w:pStyle w:val="19"/>
        <w:spacing w:line="240" w:lineRule="auto"/>
        <w:ind w:left="0" w:leftChars="0" w:firstLine="0" w:firstLineChars="0"/>
        <w:rPr>
          <w:rFonts w:hint="eastAsia" w:cs="宋体"/>
          <w:color w:val="auto"/>
          <w:sz w:val="28"/>
          <w:szCs w:val="28"/>
        </w:rPr>
      </w:pPr>
      <w:r>
        <w:rPr>
          <w:rFonts w:hint="eastAsia" w:cs="宋体"/>
          <w:color w:val="auto"/>
          <w:sz w:val="28"/>
          <w:szCs w:val="28"/>
        </w:rPr>
        <w:t>供应商应对</w:t>
      </w:r>
      <w:r>
        <w:rPr>
          <w:rFonts w:hint="eastAsia" w:cs="宋体"/>
          <w:color w:val="auto"/>
          <w:sz w:val="28"/>
          <w:szCs w:val="28"/>
          <w:lang w:val="en-US" w:eastAsia="zh-CN"/>
        </w:rPr>
        <w:t>响应文件</w:t>
      </w:r>
      <w:r>
        <w:rPr>
          <w:rFonts w:hint="eastAsia" w:cs="宋体"/>
          <w:color w:val="auto"/>
          <w:sz w:val="28"/>
          <w:szCs w:val="28"/>
        </w:rPr>
        <w:t>的所有信息的真实性和准确性负责，并自行承担信息有误导致的一切后果。</w:t>
      </w:r>
    </w:p>
    <w:p w14:paraId="08DC9779">
      <w:pPr>
        <w:widowControl/>
        <w:numPr>
          <w:ilvl w:val="0"/>
          <w:numId w:val="0"/>
        </w:numPr>
        <w:jc w:val="left"/>
        <w:rPr>
          <w:rFonts w:hint="eastAsia" w:asciiTheme="minorEastAsia" w:hAnsiTheme="minorEastAsia" w:eastAsiaTheme="minorEastAsia" w:cstheme="minorEastAsia"/>
          <w:b/>
          <w:bCs/>
          <w:color w:val="auto"/>
          <w:kern w:val="2"/>
          <w:sz w:val="28"/>
          <w:szCs w:val="28"/>
          <w:highlight w:val="none"/>
          <w:lang w:val="en-US" w:eastAsia="zh-CN" w:bidi="ar-SA"/>
        </w:rPr>
      </w:pPr>
      <w:r>
        <w:rPr>
          <w:rFonts w:hint="eastAsia" w:asciiTheme="minorEastAsia" w:hAnsiTheme="minorEastAsia" w:eastAsiaTheme="minorEastAsia" w:cstheme="minorEastAsia"/>
          <w:b/>
          <w:bCs/>
          <w:color w:val="auto"/>
          <w:kern w:val="2"/>
          <w:sz w:val="28"/>
          <w:szCs w:val="28"/>
          <w:lang w:val="en-US" w:eastAsia="zh-CN" w:bidi="ar-SA"/>
        </w:rPr>
        <w:t>6.</w:t>
      </w:r>
      <w:r>
        <w:rPr>
          <w:rFonts w:hint="eastAsia" w:asciiTheme="minorEastAsia" w:hAnsiTheme="minorEastAsia" w:eastAsiaTheme="minorEastAsia" w:cstheme="minorEastAsia"/>
          <w:b/>
          <w:bCs/>
          <w:color w:val="auto"/>
          <w:kern w:val="2"/>
          <w:sz w:val="28"/>
          <w:szCs w:val="28"/>
          <w:highlight w:val="none"/>
          <w:lang w:val="en-US" w:eastAsia="zh-CN" w:bidi="ar-SA"/>
        </w:rPr>
        <w:t>竞价报价</w:t>
      </w:r>
    </w:p>
    <w:p w14:paraId="7538B65B">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6.1报价应为人民币含税价，无人民币报价或报价无法折算成人民币的报价属无效竞价。</w:t>
      </w:r>
    </w:p>
    <w:p w14:paraId="1B10F8ED">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6.2采用两次报价方式。供应商在提交的响应文件中进行第一次报价，在评审时根据竞价小组的要求进行第二次报价，第二次报价为最终报价。</w:t>
      </w:r>
    </w:p>
    <w:p w14:paraId="6F1B7C39">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6.3两次报价均为含税到货价。</w:t>
      </w:r>
    </w:p>
    <w:p w14:paraId="251E52C9">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6.4供应商不得哄抬报价，也不应偏离市场虚假报价，否则一经查实，其竞价将可能被拒绝或被宣布为无效。</w:t>
      </w:r>
    </w:p>
    <w:p w14:paraId="34386616">
      <w:pPr>
        <w:keepNext/>
        <w:keepLines/>
        <w:widowControl w:val="0"/>
        <w:suppressAutoHyphens/>
        <w:spacing w:before="0" w:after="0" w:line="480" w:lineRule="auto"/>
        <w:jc w:val="left"/>
        <w:outlineLvl w:val="1"/>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7.付款方式和其他财务要求</w:t>
      </w:r>
    </w:p>
    <w:p w14:paraId="15263902">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7.1付款方式：银行承兑汇票或银行转账</w:t>
      </w:r>
    </w:p>
    <w:p w14:paraId="470899A4">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7.2价款的支付方式：</w:t>
      </w:r>
    </w:p>
    <w:p w14:paraId="132E2F8A">
      <w:pPr>
        <w:pStyle w:val="18"/>
        <w:numPr>
          <w:ilvl w:val="0"/>
          <w:numId w:val="1"/>
        </w:num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当合同签订后，</w:t>
      </w:r>
      <w:r>
        <w:rPr>
          <w:rFonts w:hint="eastAsia" w:cs="宋体"/>
          <w:b w:val="0"/>
          <w:bCs w:val="0"/>
          <w:kern w:val="2"/>
          <w:sz w:val="28"/>
          <w:szCs w:val="28"/>
          <w:lang w:val="en-US" w:eastAsia="zh-CN" w:bidi="ar-SA"/>
        </w:rPr>
        <w:t>剪刀改造</w:t>
      </w:r>
      <w:r>
        <w:rPr>
          <w:rFonts w:hint="eastAsia" w:ascii="宋体" w:hAnsi="宋体" w:eastAsia="宋体" w:cs="宋体"/>
          <w:b w:val="0"/>
          <w:bCs w:val="0"/>
          <w:kern w:val="2"/>
          <w:sz w:val="28"/>
          <w:szCs w:val="28"/>
          <w:lang w:val="en-US" w:eastAsia="zh-CN" w:bidi="ar-SA"/>
        </w:rPr>
        <w:t>设备到货后，收到乙方开具的合格有效的增值税专用发票30日内向乙方支付合同价款的60%，验收合格后一个月后，甲方支付乙方合同价款的30%。</w:t>
      </w:r>
    </w:p>
    <w:p w14:paraId="1725767F">
      <w:pPr>
        <w:pStyle w:val="18"/>
        <w:numPr>
          <w:ilvl w:val="0"/>
          <w:numId w:val="2"/>
        </w:num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资料清单（含</w:t>
      </w:r>
      <w:r>
        <w:rPr>
          <w:rFonts w:ascii="宋体" w:hAnsi="宋体" w:eastAsia="宋体" w:cs="宋体"/>
          <w:kern w:val="0"/>
          <w:sz w:val="28"/>
          <w:szCs w:val="28"/>
          <w:lang w:val="en-US" w:eastAsia="zh-CN" w:bidi="ar"/>
        </w:rPr>
        <w:t>竣工资料</w:t>
      </w:r>
      <w:r>
        <w:rPr>
          <w:rFonts w:hint="eastAsia" w:ascii="宋体" w:hAnsi="宋体" w:eastAsia="宋体" w:cs="宋体"/>
          <w:b w:val="0"/>
          <w:bCs w:val="0"/>
          <w:kern w:val="2"/>
          <w:sz w:val="28"/>
          <w:szCs w:val="28"/>
          <w:lang w:val="en-US" w:eastAsia="zh-CN" w:bidi="ar-SA"/>
        </w:rPr>
        <w:t>）；</w:t>
      </w:r>
    </w:p>
    <w:p w14:paraId="1410F358">
      <w:pPr>
        <w:pStyle w:val="18"/>
        <w:numPr>
          <w:ilvl w:val="0"/>
          <w:numId w:val="2"/>
        </w:numPr>
        <w:ind w:left="0" w:leftChars="0" w:firstLine="0" w:firstLineChars="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配套设备厂家出具的质量检验证书、合格证和数量证明书；</w:t>
      </w:r>
    </w:p>
    <w:p w14:paraId="742C3286">
      <w:pPr>
        <w:pStyle w:val="18"/>
        <w:numPr>
          <w:ilvl w:val="0"/>
          <w:numId w:val="2"/>
        </w:numPr>
        <w:ind w:left="0" w:leftChars="0" w:firstLine="0" w:firstLineChars="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应提供的对应技术资料</w:t>
      </w:r>
      <w:bookmarkStart w:id="12" w:name="_Hlk28638891"/>
      <w:r>
        <w:rPr>
          <w:rFonts w:hint="eastAsia" w:ascii="宋体" w:hAnsi="宋体" w:eastAsia="宋体" w:cs="宋体"/>
          <w:b w:val="0"/>
          <w:bCs w:val="0"/>
          <w:kern w:val="2"/>
          <w:sz w:val="28"/>
          <w:szCs w:val="28"/>
          <w:lang w:val="en-US" w:eastAsia="zh-CN" w:bidi="ar-SA"/>
        </w:rPr>
        <w:t>包含但不限于操作使用说明书、维护保养手册等齐全</w:t>
      </w:r>
      <w:bookmarkEnd w:id="12"/>
      <w:r>
        <w:rPr>
          <w:rFonts w:hint="eastAsia" w:ascii="宋体" w:hAnsi="宋体" w:eastAsia="宋体" w:cs="宋体"/>
          <w:b w:val="0"/>
          <w:bCs w:val="0"/>
          <w:kern w:val="2"/>
          <w:sz w:val="28"/>
          <w:szCs w:val="28"/>
          <w:lang w:val="en-US" w:eastAsia="zh-CN" w:bidi="ar-SA"/>
        </w:rPr>
        <w:t>。</w:t>
      </w:r>
    </w:p>
    <w:p w14:paraId="06197F81">
      <w:pPr>
        <w:pStyle w:val="18"/>
        <w:numPr>
          <w:ilvl w:val="0"/>
          <w:numId w:val="0"/>
        </w:numPr>
        <w:ind w:leftChars="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留合同总价百分之十(10%)为质量保证金，投入运行一年，如运行正常，则甲方在质量保证期限满后的30日内一次性不计息结清支付，否则用以抵扣维修费、违约金等质量问题相关费用后支付乙方，不足部分由乙方承担。</w:t>
      </w:r>
    </w:p>
    <w:p w14:paraId="3681AAEF">
      <w:pPr>
        <w:pStyle w:val="18"/>
        <w:rPr>
          <w:rFonts w:hint="eastAsia" w:cs="宋体"/>
          <w:sz w:val="28"/>
          <w:szCs w:val="28"/>
        </w:rPr>
      </w:pPr>
      <w:r>
        <w:rPr>
          <w:rFonts w:hint="eastAsia" w:ascii="宋体" w:hAnsi="宋体" w:eastAsia="宋体" w:cs="宋体"/>
          <w:b w:val="0"/>
          <w:bCs w:val="0"/>
          <w:kern w:val="2"/>
          <w:sz w:val="28"/>
          <w:szCs w:val="28"/>
          <w:lang w:val="en-US" w:eastAsia="zh-CN" w:bidi="ar-SA"/>
        </w:rPr>
        <w:t>7.3其他财务要求：甲方给乙方的每笔付款前，须收到乙方等额的增值税专用发票（原件）。当甲方的申请付款达到该合同总价90%的同时，乙方应提供给甲方该合同总额100%的增值税专用发票。</w:t>
      </w:r>
    </w:p>
    <w:p w14:paraId="2F33EA5E">
      <w:pPr>
        <w:pStyle w:val="20"/>
        <w:rPr>
          <w:sz w:val="28"/>
          <w:szCs w:val="28"/>
          <w:lang w:eastAsia="zh-CN"/>
        </w:rPr>
      </w:pPr>
      <w:bookmarkStart w:id="13" w:name="_Toc20766"/>
      <w:bookmarkStart w:id="14" w:name="_Toc8029"/>
      <w:r>
        <w:rPr>
          <w:rFonts w:hint="eastAsia"/>
          <w:sz w:val="28"/>
          <w:szCs w:val="28"/>
          <w:lang w:val="en-US" w:eastAsia="zh-CN"/>
        </w:rPr>
        <w:t>8</w:t>
      </w:r>
      <w:r>
        <w:rPr>
          <w:rFonts w:hint="eastAsia"/>
          <w:sz w:val="28"/>
          <w:szCs w:val="28"/>
        </w:rPr>
        <w:t>.</w:t>
      </w:r>
      <w:r>
        <w:rPr>
          <w:rFonts w:hint="eastAsia"/>
          <w:sz w:val="28"/>
          <w:szCs w:val="28"/>
          <w:lang w:val="en-US" w:eastAsia="zh-CN"/>
        </w:rPr>
        <w:t>评审</w:t>
      </w:r>
      <w:r>
        <w:rPr>
          <w:rFonts w:hint="eastAsia"/>
          <w:sz w:val="28"/>
          <w:szCs w:val="28"/>
        </w:rPr>
        <w:t>时间和地点</w:t>
      </w:r>
      <w:bookmarkEnd w:id="13"/>
      <w:bookmarkEnd w:id="14"/>
    </w:p>
    <w:p w14:paraId="644DA531">
      <w:pPr>
        <w:pStyle w:val="18"/>
        <w:rPr>
          <w:sz w:val="28"/>
          <w:szCs w:val="28"/>
        </w:rPr>
      </w:pPr>
      <w:r>
        <w:rPr>
          <w:rFonts w:hint="eastAsia"/>
          <w:sz w:val="28"/>
          <w:szCs w:val="28"/>
          <w:lang w:val="en-US" w:eastAsia="zh-CN"/>
        </w:rPr>
        <w:t>8</w:t>
      </w:r>
      <w:r>
        <w:rPr>
          <w:rFonts w:hint="eastAsia"/>
          <w:sz w:val="28"/>
          <w:szCs w:val="28"/>
        </w:rPr>
        <w:t>.1</w:t>
      </w:r>
      <w:r>
        <w:rPr>
          <w:rFonts w:hint="eastAsia"/>
          <w:sz w:val="28"/>
          <w:szCs w:val="28"/>
          <w:lang w:val="en-US" w:eastAsia="zh-CN"/>
        </w:rPr>
        <w:t>评审</w:t>
      </w:r>
      <w:r>
        <w:rPr>
          <w:rFonts w:hint="eastAsia"/>
          <w:sz w:val="28"/>
          <w:szCs w:val="28"/>
        </w:rPr>
        <w:t>时间：</w:t>
      </w:r>
      <w:r>
        <w:rPr>
          <w:rFonts w:hint="eastAsia" w:cs="宋体"/>
          <w:sz w:val="28"/>
          <w:szCs w:val="28"/>
          <w:highlight w:val="none"/>
        </w:rPr>
        <w:t>202</w:t>
      </w:r>
      <w:r>
        <w:rPr>
          <w:rFonts w:hint="eastAsia" w:cs="宋体"/>
          <w:sz w:val="28"/>
          <w:szCs w:val="28"/>
          <w:highlight w:val="none"/>
          <w:lang w:val="en-US" w:eastAsia="zh-CN"/>
        </w:rPr>
        <w:t>6</w:t>
      </w:r>
      <w:r>
        <w:rPr>
          <w:rFonts w:hint="eastAsia" w:cs="宋体"/>
          <w:sz w:val="28"/>
          <w:szCs w:val="28"/>
          <w:highlight w:val="none"/>
        </w:rPr>
        <w:t>年</w:t>
      </w:r>
      <w:r>
        <w:rPr>
          <w:rFonts w:hint="eastAsia" w:cs="宋体"/>
          <w:sz w:val="28"/>
          <w:szCs w:val="28"/>
          <w:highlight w:val="none"/>
          <w:lang w:val="en-US" w:eastAsia="zh-CN"/>
        </w:rPr>
        <w:t>8</w:t>
      </w:r>
      <w:r>
        <w:rPr>
          <w:rFonts w:hint="eastAsia" w:cs="宋体"/>
          <w:sz w:val="28"/>
          <w:szCs w:val="28"/>
          <w:highlight w:val="none"/>
        </w:rPr>
        <w:t>月</w:t>
      </w:r>
      <w:r>
        <w:rPr>
          <w:rFonts w:hint="eastAsia" w:cs="宋体"/>
          <w:sz w:val="28"/>
          <w:szCs w:val="28"/>
          <w:highlight w:val="none"/>
          <w:lang w:val="en-US" w:eastAsia="zh-CN"/>
        </w:rPr>
        <w:t>25</w:t>
      </w:r>
      <w:r>
        <w:rPr>
          <w:rFonts w:hint="eastAsia" w:cs="宋体"/>
          <w:sz w:val="28"/>
          <w:szCs w:val="28"/>
          <w:highlight w:val="none"/>
        </w:rPr>
        <w:t>日</w:t>
      </w:r>
      <w:r>
        <w:rPr>
          <w:rFonts w:hint="eastAsia" w:cs="宋体"/>
          <w:sz w:val="28"/>
          <w:szCs w:val="28"/>
          <w:highlight w:val="none"/>
          <w:lang w:val="en-US" w:eastAsia="zh-CN"/>
        </w:rPr>
        <w:t>17</w:t>
      </w:r>
      <w:r>
        <w:rPr>
          <w:rFonts w:hint="eastAsia" w:cs="宋体"/>
          <w:sz w:val="28"/>
          <w:szCs w:val="28"/>
          <w:highlight w:val="none"/>
        </w:rPr>
        <w:t>:</w:t>
      </w:r>
      <w:r>
        <w:rPr>
          <w:rFonts w:hint="eastAsia" w:cs="宋体"/>
          <w:sz w:val="28"/>
          <w:szCs w:val="28"/>
          <w:highlight w:val="none"/>
          <w:lang w:val="en-US" w:eastAsia="zh-CN"/>
        </w:rPr>
        <w:t>00</w:t>
      </w:r>
      <w:r>
        <w:rPr>
          <w:rFonts w:hint="eastAsia" w:cs="宋体"/>
          <w:sz w:val="28"/>
          <w:szCs w:val="28"/>
          <w:highlight w:val="none"/>
          <w:lang w:eastAsia="zh-CN"/>
        </w:rPr>
        <w:t>（</w:t>
      </w:r>
      <w:r>
        <w:rPr>
          <w:rFonts w:hint="eastAsia" w:cs="宋体"/>
          <w:sz w:val="28"/>
          <w:szCs w:val="28"/>
          <w:highlight w:val="none"/>
          <w:lang w:val="en-US" w:eastAsia="zh-CN"/>
        </w:rPr>
        <w:t>如有变动</w:t>
      </w:r>
      <w:r>
        <w:rPr>
          <w:rFonts w:hint="eastAsia"/>
          <w:sz w:val="28"/>
          <w:szCs w:val="28"/>
        </w:rPr>
        <w:t>另行通知</w:t>
      </w:r>
      <w:r>
        <w:rPr>
          <w:rFonts w:hint="eastAsia" w:cs="宋体"/>
          <w:sz w:val="28"/>
          <w:szCs w:val="28"/>
          <w:highlight w:val="none"/>
          <w:lang w:eastAsia="zh-CN"/>
        </w:rPr>
        <w:t>）</w:t>
      </w:r>
      <w:r>
        <w:rPr>
          <w:rFonts w:hint="eastAsia"/>
          <w:sz w:val="28"/>
          <w:szCs w:val="28"/>
        </w:rPr>
        <w:t>。</w:t>
      </w:r>
    </w:p>
    <w:p w14:paraId="1332C082">
      <w:pPr>
        <w:pStyle w:val="18"/>
        <w:rPr>
          <w:rFonts w:hint="eastAsia"/>
          <w:sz w:val="28"/>
          <w:szCs w:val="28"/>
        </w:rPr>
      </w:pPr>
      <w:r>
        <w:rPr>
          <w:rFonts w:hint="eastAsia"/>
          <w:sz w:val="28"/>
          <w:szCs w:val="28"/>
          <w:lang w:val="en-US" w:eastAsia="zh-CN"/>
        </w:rPr>
        <w:t>8</w:t>
      </w:r>
      <w:r>
        <w:rPr>
          <w:rFonts w:hint="eastAsia"/>
          <w:sz w:val="28"/>
          <w:szCs w:val="28"/>
        </w:rPr>
        <w:t>.2</w:t>
      </w:r>
      <w:r>
        <w:rPr>
          <w:rFonts w:hint="eastAsia"/>
          <w:sz w:val="28"/>
          <w:szCs w:val="28"/>
          <w:lang w:val="en-US" w:eastAsia="zh-CN"/>
        </w:rPr>
        <w:t>评审</w:t>
      </w:r>
      <w:r>
        <w:rPr>
          <w:rFonts w:hint="eastAsia"/>
          <w:sz w:val="28"/>
          <w:szCs w:val="28"/>
        </w:rPr>
        <w:t>地点：</w:t>
      </w:r>
      <w:r>
        <w:rPr>
          <w:rFonts w:hint="eastAsia"/>
          <w:sz w:val="28"/>
          <w:szCs w:val="28"/>
          <w:lang w:val="en-US" w:eastAsia="zh-CN"/>
        </w:rPr>
        <w:t>中铝铝箔（云南）有限公司办公楼</w:t>
      </w:r>
      <w:r>
        <w:rPr>
          <w:rFonts w:hint="eastAsia"/>
          <w:sz w:val="28"/>
          <w:szCs w:val="28"/>
        </w:rPr>
        <w:t>。</w:t>
      </w:r>
    </w:p>
    <w:p w14:paraId="5399F4F9">
      <w:pPr>
        <w:pStyle w:val="20"/>
        <w:rPr>
          <w:rFonts w:hint="eastAsia" w:asciiTheme="minorEastAsia" w:hAnsiTheme="minorEastAsia" w:eastAsiaTheme="minorEastAsia" w:cstheme="minorEastAsia"/>
          <w:b/>
          <w:bCs/>
          <w:color w:val="auto"/>
          <w:kern w:val="2"/>
          <w:sz w:val="28"/>
          <w:szCs w:val="28"/>
          <w:highlight w:val="none"/>
          <w:lang w:val="en-US" w:eastAsia="zh-CN" w:bidi="ar-SA"/>
        </w:rPr>
      </w:pPr>
      <w:r>
        <w:rPr>
          <w:rFonts w:hint="eastAsia" w:asciiTheme="minorEastAsia" w:hAnsiTheme="minorEastAsia" w:eastAsiaTheme="minorEastAsia" w:cstheme="minorEastAsia"/>
          <w:b/>
          <w:bCs/>
          <w:color w:val="auto"/>
          <w:kern w:val="2"/>
          <w:sz w:val="28"/>
          <w:szCs w:val="28"/>
          <w:highlight w:val="none"/>
          <w:lang w:val="en-US" w:eastAsia="zh-CN" w:bidi="ar-SA"/>
        </w:rPr>
        <w:t>9.评审办法</w:t>
      </w:r>
    </w:p>
    <w:p w14:paraId="7CD5CE7F">
      <w:pPr>
        <w:pStyle w:val="18"/>
        <w:rPr>
          <w:rFonts w:hint="eastAsia" w:eastAsia="宋体"/>
          <w:sz w:val="28"/>
          <w:szCs w:val="28"/>
          <w:lang w:eastAsia="zh-CN"/>
        </w:rPr>
      </w:pPr>
      <w:r>
        <w:rPr>
          <w:rFonts w:hint="eastAsia" w:ascii="Times New Roman" w:hAnsi="Times New Roman" w:cs="Times New Roman" w:eastAsiaTheme="minorEastAsia"/>
          <w:color w:val="000000"/>
          <w:sz w:val="28"/>
          <w:szCs w:val="28"/>
          <w:lang w:val="en-US" w:eastAsia="zh-CN"/>
        </w:rPr>
        <w:t>最低价法：评审小组对满足资质要求的响应文件，按照经评审的报价由低到高顺序推荐成交候选人。</w:t>
      </w:r>
    </w:p>
    <w:p w14:paraId="705A1F32">
      <w:pPr>
        <w:pStyle w:val="20"/>
        <w:rPr>
          <w:rFonts w:ascii="Arial" w:hAnsi="Arial"/>
          <w:sz w:val="28"/>
          <w:szCs w:val="28"/>
        </w:rPr>
      </w:pPr>
      <w:bookmarkStart w:id="15" w:name="_Toc8669"/>
      <w:bookmarkStart w:id="16" w:name="_Toc6575"/>
      <w:r>
        <w:rPr>
          <w:rFonts w:hint="eastAsia"/>
          <w:sz w:val="28"/>
          <w:szCs w:val="28"/>
          <w:lang w:val="en-US" w:eastAsia="zh-CN"/>
        </w:rPr>
        <w:t>10</w:t>
      </w:r>
      <w:r>
        <w:rPr>
          <w:rFonts w:hint="eastAsia"/>
          <w:sz w:val="28"/>
          <w:szCs w:val="28"/>
          <w:lang w:eastAsia="zh-CN"/>
        </w:rPr>
        <w:t>.</w:t>
      </w:r>
      <w:r>
        <w:rPr>
          <w:rFonts w:hint="eastAsia"/>
          <w:sz w:val="28"/>
          <w:szCs w:val="28"/>
        </w:rPr>
        <w:t>监督部门</w:t>
      </w:r>
      <w:bookmarkEnd w:id="15"/>
      <w:bookmarkEnd w:id="16"/>
    </w:p>
    <w:p w14:paraId="49C8F8C3">
      <w:pPr>
        <w:pStyle w:val="11"/>
        <w:spacing w:before="75" w:beforeAutospacing="0" w:after="75" w:afterAutospacing="0" w:line="360" w:lineRule="auto"/>
        <w:rPr>
          <w:rFonts w:hint="eastAsia" w:ascii="宋体" w:hAnsi="宋体" w:cs="Arial" w:eastAsiaTheme="minorEastAsia"/>
          <w:color w:val="000000"/>
          <w:kern w:val="2"/>
          <w:sz w:val="28"/>
          <w:szCs w:val="28"/>
          <w:lang w:val="en-US" w:eastAsia="zh-CN" w:bidi="ar-SA"/>
        </w:rPr>
      </w:pPr>
      <w:r>
        <w:rPr>
          <w:rFonts w:hint="eastAsia" w:ascii="宋体" w:hAnsi="宋体" w:eastAsia="宋体" w:cs="Times New Roman"/>
          <w:color w:val="auto"/>
          <w:kern w:val="2"/>
          <w:sz w:val="28"/>
          <w:szCs w:val="28"/>
          <w:highlight w:val="none"/>
          <w:lang w:val="en-US" w:eastAsia="zh-CN" w:bidi="ar-SA"/>
        </w:rPr>
        <w:t>10.1监督部门：办公室（党委办公室、法律合规部）</w:t>
      </w:r>
    </w:p>
    <w:p w14:paraId="600E8A43">
      <w:pPr>
        <w:pStyle w:val="11"/>
        <w:spacing w:before="75" w:beforeAutospacing="0" w:after="75" w:afterAutospacing="0" w:line="360" w:lineRule="auto"/>
        <w:rPr>
          <w:rFonts w:ascii="Arial" w:hAnsi="Arial" w:cs="Arial" w:eastAsiaTheme="minorEastAsia"/>
          <w:color w:val="000000"/>
          <w:kern w:val="2"/>
          <w:sz w:val="28"/>
          <w:szCs w:val="28"/>
          <w:lang w:val="en-US" w:eastAsia="zh-CN" w:bidi="ar-SA"/>
        </w:rPr>
      </w:pPr>
      <w:bookmarkStart w:id="17" w:name="_Toc5469"/>
      <w:bookmarkStart w:id="18" w:name="_Toc517804011"/>
      <w:bookmarkStart w:id="19" w:name="_Toc53565731"/>
      <w:bookmarkStart w:id="20" w:name="_Toc24650"/>
      <w:r>
        <w:rPr>
          <w:rFonts w:hint="eastAsia" w:ascii="宋体" w:hAnsi="宋体" w:eastAsia="宋体" w:cs="Times New Roman"/>
          <w:color w:val="auto"/>
          <w:kern w:val="2"/>
          <w:sz w:val="28"/>
          <w:szCs w:val="28"/>
          <w:highlight w:val="none"/>
          <w:lang w:val="en-US" w:eastAsia="zh-CN" w:bidi="ar-SA"/>
        </w:rPr>
        <w:t>10.2监督电话：0871-65944680</w:t>
      </w:r>
    </w:p>
    <w:p w14:paraId="0BF73ECB">
      <w:pPr>
        <w:pStyle w:val="20"/>
        <w:rPr>
          <w:sz w:val="28"/>
          <w:szCs w:val="28"/>
          <w:lang w:eastAsia="zh-CN"/>
        </w:rPr>
      </w:pPr>
      <w:r>
        <w:rPr>
          <w:rFonts w:hint="eastAsia"/>
          <w:sz w:val="28"/>
          <w:szCs w:val="28"/>
          <w:lang w:val="en-US" w:eastAsia="zh-CN"/>
        </w:rPr>
        <w:t>11</w:t>
      </w:r>
      <w:r>
        <w:rPr>
          <w:rFonts w:hint="eastAsia"/>
          <w:sz w:val="28"/>
          <w:szCs w:val="28"/>
          <w:lang w:eastAsia="zh-CN"/>
        </w:rPr>
        <w:t>.联系方式</w:t>
      </w:r>
      <w:bookmarkEnd w:id="17"/>
      <w:bookmarkEnd w:id="18"/>
      <w:bookmarkEnd w:id="19"/>
      <w:bookmarkEnd w:id="20"/>
    </w:p>
    <w:p w14:paraId="20DEA627">
      <w:pPr>
        <w:pStyle w:val="18"/>
        <w:rPr>
          <w:rFonts w:hint="default"/>
          <w:sz w:val="28"/>
          <w:szCs w:val="28"/>
          <w:highlight w:val="yellow"/>
          <w:lang w:val="en-US"/>
        </w:rPr>
      </w:pPr>
      <w:r>
        <w:rPr>
          <w:rFonts w:hint="eastAsia"/>
          <w:sz w:val="28"/>
          <w:szCs w:val="28"/>
        </w:rPr>
        <w:t>采购人：</w:t>
      </w:r>
      <w:bookmarkStart w:id="21" w:name="TenderCompanyName_0073681"/>
      <w:r>
        <w:rPr>
          <w:rFonts w:hint="eastAsia" w:ascii="宋体" w:hAnsi="宋体" w:eastAsia="宋体" w:cs="Times New Roman"/>
          <w:kern w:val="2"/>
          <w:sz w:val="28"/>
          <w:szCs w:val="28"/>
          <w:lang w:val="en-US" w:eastAsia="zh-CN" w:bidi="ar-SA"/>
        </w:rPr>
        <w:t>中铝铝箔</w:t>
      </w:r>
      <w:r>
        <w:rPr>
          <w:rFonts w:hint="eastAsia" w:cs="Times New Roman"/>
          <w:kern w:val="2"/>
          <w:sz w:val="28"/>
          <w:szCs w:val="28"/>
          <w:lang w:val="en-US" w:eastAsia="zh-CN" w:bidi="ar-SA"/>
        </w:rPr>
        <w:t>（云南）</w:t>
      </w:r>
      <w:r>
        <w:rPr>
          <w:rFonts w:hint="eastAsia" w:ascii="宋体" w:hAnsi="宋体" w:eastAsia="宋体" w:cs="Times New Roman"/>
          <w:kern w:val="2"/>
          <w:sz w:val="28"/>
          <w:szCs w:val="28"/>
          <w:lang w:val="en-US" w:eastAsia="zh-CN" w:bidi="ar-SA"/>
        </w:rPr>
        <w:t>有限公司</w:t>
      </w:r>
    </w:p>
    <w:bookmarkEnd w:id="21"/>
    <w:p w14:paraId="1CC14A96">
      <w:pPr>
        <w:keepNext w:val="0"/>
        <w:keepLines w:val="0"/>
        <w:widowControl/>
        <w:suppressLineNumbers w:val="0"/>
        <w:jc w:val="left"/>
        <w:rPr>
          <w:rFonts w:hint="default" w:ascii="宋体" w:hAnsi="宋体" w:eastAsia="宋体" w:cs="宋体"/>
          <w:kern w:val="0"/>
          <w:sz w:val="28"/>
          <w:szCs w:val="28"/>
          <w:lang w:val="en-US" w:eastAsia="zh-CN" w:bidi="ar"/>
        </w:rPr>
      </w:pPr>
      <w:r>
        <w:rPr>
          <w:rFonts w:hint="eastAsia"/>
          <w:sz w:val="28"/>
          <w:szCs w:val="28"/>
        </w:rPr>
        <w:t>响应文件接收联系人：</w:t>
      </w:r>
      <w:r>
        <w:rPr>
          <w:rFonts w:hint="eastAsia"/>
          <w:sz w:val="28"/>
          <w:szCs w:val="28"/>
          <w:lang w:val="en-US" w:eastAsia="zh-CN"/>
        </w:rPr>
        <w:t>张芮铭</w:t>
      </w:r>
    </w:p>
    <w:p w14:paraId="7C55F5AD">
      <w:pPr>
        <w:widowControl/>
        <w:jc w:val="left"/>
        <w:rPr>
          <w:rFonts w:hint="default" w:ascii="宋体" w:hAnsi="宋体" w:cs="宋体"/>
          <w:kern w:val="0"/>
          <w:sz w:val="28"/>
          <w:szCs w:val="28"/>
          <w:lang w:val="en-US" w:eastAsia="zh-CN" w:bidi="ar"/>
        </w:rPr>
      </w:pPr>
      <w:r>
        <w:rPr>
          <w:rFonts w:hint="eastAsia"/>
          <w:sz w:val="28"/>
          <w:szCs w:val="28"/>
        </w:rPr>
        <w:t>联系电话：</w:t>
      </w:r>
      <w:r>
        <w:rPr>
          <w:rFonts w:hint="eastAsia" w:ascii="宋体" w:hAnsi="宋体" w:cs="宋体"/>
          <w:kern w:val="0"/>
          <w:sz w:val="28"/>
          <w:szCs w:val="28"/>
          <w:lang w:val="en-US" w:eastAsia="zh-CN" w:bidi="ar"/>
        </w:rPr>
        <w:t>18288631213</w:t>
      </w:r>
    </w:p>
    <w:p w14:paraId="742DE822">
      <w:pPr>
        <w:widowControl/>
        <w:jc w:val="left"/>
        <w:rPr>
          <w:rFonts w:hint="default"/>
          <w:sz w:val="28"/>
          <w:szCs w:val="28"/>
          <w:lang w:val="en-US"/>
        </w:rPr>
      </w:pPr>
      <w:r>
        <w:rPr>
          <w:rFonts w:hint="eastAsia"/>
          <w:sz w:val="28"/>
          <w:szCs w:val="28"/>
        </w:rPr>
        <w:t>技术联系人：</w:t>
      </w:r>
      <w:r>
        <w:rPr>
          <w:rFonts w:hint="eastAsia" w:ascii="宋体" w:hAnsi="宋体" w:cs="宋体"/>
          <w:kern w:val="0"/>
          <w:sz w:val="28"/>
          <w:szCs w:val="28"/>
          <w:lang w:val="en-US" w:eastAsia="zh-CN" w:bidi="ar"/>
        </w:rPr>
        <w:t>何鑫荣</w:t>
      </w:r>
    </w:p>
    <w:p w14:paraId="2D739968">
      <w:pPr>
        <w:ind w:left="0" w:leftChars="0" w:firstLineChars="0"/>
        <w:rPr>
          <w:rFonts w:hint="eastAsia" w:ascii="宋体" w:hAnsi="宋体" w:cs="宋体"/>
          <w:kern w:val="0"/>
          <w:sz w:val="28"/>
          <w:szCs w:val="28"/>
          <w:lang w:val="en-US" w:eastAsia="zh-CN" w:bidi="ar"/>
        </w:rPr>
      </w:pPr>
      <w:r>
        <w:rPr>
          <w:rFonts w:hint="eastAsia"/>
          <w:sz w:val="28"/>
          <w:szCs w:val="28"/>
        </w:rPr>
        <w:t>电  话：</w:t>
      </w:r>
      <w:r>
        <w:rPr>
          <w:rFonts w:hint="eastAsia" w:ascii="宋体" w:hAnsi="宋体" w:cs="宋体"/>
          <w:kern w:val="0"/>
          <w:sz w:val="28"/>
          <w:szCs w:val="28"/>
          <w:lang w:val="en-US" w:eastAsia="zh-CN" w:bidi="ar"/>
        </w:rPr>
        <w:t>13808711411</w:t>
      </w:r>
    </w:p>
    <w:p w14:paraId="07376C33">
      <w:pPr>
        <w:pStyle w:val="5"/>
        <w:rPr>
          <w:rFonts w:hint="default"/>
          <w:lang w:val="en-US" w:eastAsia="zh-CN"/>
        </w:rPr>
      </w:pPr>
    </w:p>
    <w:p w14:paraId="59A4C78C">
      <w:pPr>
        <w:pStyle w:val="5"/>
        <w:rPr>
          <w:rFonts w:hint="default"/>
          <w:lang w:val="en-US" w:eastAsia="zh-CN"/>
        </w:rPr>
      </w:pPr>
    </w:p>
    <w:p w14:paraId="08F5F69B">
      <w:pPr>
        <w:widowControl/>
        <w:jc w:val="right"/>
        <w:rPr>
          <w:rFonts w:hint="eastAsia"/>
          <w:sz w:val="28"/>
          <w:szCs w:val="28"/>
          <w:lang w:val="en-US" w:eastAsia="zh-CN"/>
        </w:rPr>
      </w:pPr>
      <w:r>
        <w:rPr>
          <w:rFonts w:hint="eastAsia"/>
          <w:sz w:val="28"/>
          <w:szCs w:val="28"/>
          <w:lang w:val="en-US" w:eastAsia="zh-CN"/>
        </w:rPr>
        <w:t>中铝铝箔（云南）有限公司</w:t>
      </w:r>
    </w:p>
    <w:p w14:paraId="688324CB">
      <w:pPr>
        <w:widowControl/>
        <w:jc w:val="right"/>
        <w:rPr>
          <w:rFonts w:hint="default"/>
          <w:lang w:val="en-US" w:eastAsia="zh-CN"/>
        </w:rPr>
      </w:pPr>
      <w:r>
        <w:rPr>
          <w:rFonts w:hint="eastAsia"/>
          <w:sz w:val="28"/>
          <w:szCs w:val="28"/>
          <w:lang w:val="en-US" w:eastAsia="zh-CN"/>
        </w:rPr>
        <w:t>装备部（数字化管理部）</w:t>
      </w:r>
    </w:p>
    <w:p w14:paraId="6CA75F86">
      <w:pPr>
        <w:pStyle w:val="5"/>
        <w:ind w:left="0" w:leftChars="0" w:firstLine="0" w:firstLineChars="0"/>
        <w:rPr>
          <w:rFonts w:hint="eastAsia" w:asciiTheme="minorEastAsia" w:hAnsi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eastAsia="zh-CN"/>
        </w:rPr>
        <w:t>附件</w:t>
      </w:r>
      <w:r>
        <w:rPr>
          <w:rFonts w:hint="eastAsia" w:asciiTheme="minorEastAsia" w:hAnsiTheme="minorEastAsia" w:cstheme="minorEastAsia"/>
          <w:b/>
          <w:bCs/>
          <w:color w:val="auto"/>
          <w:sz w:val="28"/>
          <w:szCs w:val="28"/>
          <w:highlight w:val="none"/>
          <w:lang w:val="en-US" w:eastAsia="zh-CN"/>
        </w:rPr>
        <w:t>1</w:t>
      </w:r>
    </w:p>
    <w:p w14:paraId="53232618">
      <w:pPr>
        <w:widowControl/>
        <w:suppressAutoHyphens/>
        <w:spacing w:line="360" w:lineRule="auto"/>
        <w:ind w:left="0" w:firstLine="0" w:firstLineChars="0"/>
        <w:jc w:val="both"/>
        <w:rPr>
          <w:rFonts w:hint="eastAsia" w:asciiTheme="minorEastAsia" w:hAnsiTheme="minorEastAsia" w:eastAsiaTheme="minorEastAsia" w:cstheme="minorEastAsia"/>
          <w:b/>
          <w:bCs/>
          <w:color w:val="auto"/>
          <w:spacing w:val="20"/>
          <w:kern w:val="0"/>
          <w:sz w:val="28"/>
          <w:szCs w:val="28"/>
          <w:highlight w:val="none"/>
          <w:lang w:val="en-US" w:eastAsia="zh-CN" w:bidi="ar-SA"/>
        </w:rPr>
      </w:pPr>
      <w:r>
        <w:rPr>
          <w:rFonts w:hint="eastAsia" w:asciiTheme="minorEastAsia" w:hAnsiTheme="minorEastAsia" w:eastAsiaTheme="minorEastAsia" w:cstheme="minorEastAsia"/>
          <w:b/>
          <w:bCs/>
          <w:color w:val="auto"/>
          <w:spacing w:val="20"/>
          <w:kern w:val="0"/>
          <w:sz w:val="28"/>
          <w:szCs w:val="28"/>
          <w:highlight w:val="none"/>
          <w:lang w:val="en-US" w:eastAsia="zh-CN" w:bidi="ar-SA"/>
        </w:rPr>
        <w:t>项目报价一览表</w:t>
      </w:r>
    </w:p>
    <w:tbl>
      <w:tblPr>
        <w:tblStyle w:val="26"/>
        <w:tblW w:w="92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244"/>
        <w:gridCol w:w="2590"/>
        <w:gridCol w:w="1005"/>
        <w:gridCol w:w="2819"/>
        <w:gridCol w:w="810"/>
        <w:gridCol w:w="810"/>
      </w:tblGrid>
      <w:tr w14:paraId="65594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823" w:hRule="atLeast"/>
        </w:trPr>
        <w:tc>
          <w:tcPr>
            <w:tcW w:w="9278" w:type="dxa"/>
            <w:gridSpan w:val="6"/>
            <w:shd w:val="clear" w:color="auto" w:fill="auto"/>
            <w:vAlign w:val="center"/>
          </w:tcPr>
          <w:p w14:paraId="45FBC59B">
            <w:pPr>
              <w:adjustRightInd w:val="0"/>
              <w:snapToGrid w:val="0"/>
              <w:spacing w:line="240" w:lineRule="auto"/>
              <w:jc w:val="center"/>
              <w:rPr>
                <w:rFonts w:hint="eastAsia" w:ascii="宋体" w:hAnsi="宋体" w:eastAsia="宋体" w:cs="Times New Roman"/>
                <w:color w:val="auto"/>
                <w:sz w:val="24"/>
                <w:highlight w:val="none"/>
                <w:lang w:val="en-US" w:eastAsia="zh-CN"/>
              </w:rPr>
            </w:pPr>
          </w:p>
          <w:p w14:paraId="6EBBC50B">
            <w:pPr>
              <w:adjustRightInd w:val="0"/>
              <w:snapToGrid w:val="0"/>
              <w:spacing w:line="240" w:lineRule="auto"/>
              <w:jc w:val="center"/>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铸轧班2号机剪刀改造项目</w:t>
            </w:r>
          </w:p>
          <w:p w14:paraId="5A99CEE8">
            <w:pPr>
              <w:adjustRightInd w:val="0"/>
              <w:snapToGrid w:val="0"/>
              <w:spacing w:line="240" w:lineRule="auto"/>
              <w:jc w:val="center"/>
              <w:rPr>
                <w:rFonts w:hint="eastAsia" w:ascii="宋体" w:hAnsi="宋体" w:eastAsia="宋体" w:cs="Times New Roman"/>
                <w:color w:val="auto"/>
                <w:sz w:val="24"/>
                <w:highlight w:val="none"/>
                <w:lang w:val="en-US" w:eastAsia="zh-CN"/>
              </w:rPr>
            </w:pPr>
          </w:p>
        </w:tc>
      </w:tr>
      <w:tr w14:paraId="3C06C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30" w:hRule="atLeast"/>
        </w:trPr>
        <w:tc>
          <w:tcPr>
            <w:tcW w:w="9278" w:type="dxa"/>
            <w:gridSpan w:val="6"/>
            <w:shd w:val="clear" w:color="auto" w:fill="auto"/>
            <w:vAlign w:val="center"/>
          </w:tcPr>
          <w:p w14:paraId="6DE9C331">
            <w:pPr>
              <w:adjustRightInd w:val="0"/>
              <w:snapToGrid w:val="0"/>
              <w:spacing w:line="240" w:lineRule="auto"/>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工程分项列表</w:t>
            </w:r>
          </w:p>
        </w:tc>
      </w:tr>
      <w:tr w14:paraId="5CE61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1BBDE628">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序号</w:t>
            </w:r>
          </w:p>
        </w:tc>
        <w:tc>
          <w:tcPr>
            <w:tcW w:w="2590" w:type="dxa"/>
            <w:shd w:val="clear" w:color="auto" w:fill="auto"/>
            <w:vAlign w:val="center"/>
          </w:tcPr>
          <w:p w14:paraId="5BD6D883">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名称</w:t>
            </w:r>
          </w:p>
        </w:tc>
        <w:tc>
          <w:tcPr>
            <w:tcW w:w="1005" w:type="dxa"/>
            <w:shd w:val="clear" w:color="auto" w:fill="auto"/>
            <w:vAlign w:val="center"/>
          </w:tcPr>
          <w:p w14:paraId="6D5B2140">
            <w:pPr>
              <w:tabs>
                <w:tab w:val="center" w:pos="617"/>
              </w:tabs>
              <w:autoSpaceDN w:val="0"/>
              <w:ind w:firstLine="240" w:firstLineChars="100"/>
              <w:jc w:val="center"/>
              <w:textAlignment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单位</w:t>
            </w:r>
          </w:p>
        </w:tc>
        <w:tc>
          <w:tcPr>
            <w:tcW w:w="2819" w:type="dxa"/>
            <w:shd w:val="clear" w:color="auto" w:fill="auto"/>
            <w:vAlign w:val="center"/>
          </w:tcPr>
          <w:p w14:paraId="44854244">
            <w:pPr>
              <w:ind w:firstLine="240" w:firstLineChars="100"/>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说明</w:t>
            </w:r>
          </w:p>
        </w:tc>
        <w:tc>
          <w:tcPr>
            <w:tcW w:w="810" w:type="dxa"/>
            <w:shd w:val="clear" w:color="auto" w:fill="auto"/>
            <w:vAlign w:val="center"/>
          </w:tcPr>
          <w:p w14:paraId="6CA0DB28">
            <w:pPr>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单价</w:t>
            </w:r>
          </w:p>
        </w:tc>
        <w:tc>
          <w:tcPr>
            <w:tcW w:w="810" w:type="dxa"/>
            <w:shd w:val="clear" w:color="auto" w:fill="auto"/>
            <w:vAlign w:val="center"/>
          </w:tcPr>
          <w:p w14:paraId="1AC93267">
            <w:pPr>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总价</w:t>
            </w:r>
          </w:p>
        </w:tc>
      </w:tr>
      <w:tr w14:paraId="3BD0F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194D4FB7">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1</w:t>
            </w:r>
          </w:p>
        </w:tc>
        <w:tc>
          <w:tcPr>
            <w:tcW w:w="2590" w:type="dxa"/>
            <w:shd w:val="clear" w:color="auto" w:fill="auto"/>
            <w:vAlign w:val="center"/>
          </w:tcPr>
          <w:p w14:paraId="07388B07">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液压平动剪主机</w:t>
            </w:r>
          </w:p>
        </w:tc>
        <w:tc>
          <w:tcPr>
            <w:tcW w:w="1005" w:type="dxa"/>
            <w:shd w:val="clear" w:color="auto" w:fill="auto"/>
            <w:vAlign w:val="center"/>
          </w:tcPr>
          <w:p w14:paraId="6FE947F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070D1E45">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含机架、底座、上刀架、下刀座、平动承载体及导向支承件</w:t>
            </w:r>
          </w:p>
        </w:tc>
        <w:tc>
          <w:tcPr>
            <w:tcW w:w="810" w:type="dxa"/>
            <w:shd w:val="clear" w:color="auto" w:fill="auto"/>
            <w:vAlign w:val="center"/>
          </w:tcPr>
          <w:p w14:paraId="39169206">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720E4E43">
            <w:pPr>
              <w:jc w:val="center"/>
              <w:rPr>
                <w:rFonts w:hint="eastAsia" w:ascii="宋体" w:hAnsi="宋体" w:eastAsia="宋体" w:cs="Times New Roman"/>
                <w:color w:val="auto"/>
                <w:sz w:val="24"/>
                <w:szCs w:val="24"/>
                <w:highlight w:val="none"/>
                <w:lang w:val="en-US" w:eastAsia="zh-CN"/>
              </w:rPr>
            </w:pPr>
          </w:p>
        </w:tc>
      </w:tr>
      <w:tr w14:paraId="71BF2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44" w:type="dxa"/>
            <w:shd w:val="clear" w:color="auto" w:fill="auto"/>
            <w:vAlign w:val="center"/>
          </w:tcPr>
          <w:p w14:paraId="3AB05D3A">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2</w:t>
            </w:r>
          </w:p>
        </w:tc>
        <w:tc>
          <w:tcPr>
            <w:tcW w:w="2590" w:type="dxa"/>
            <w:shd w:val="clear" w:color="auto" w:fill="auto"/>
            <w:vAlign w:val="center"/>
          </w:tcPr>
          <w:p w14:paraId="7E79110A">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剪切执行机构</w:t>
            </w:r>
          </w:p>
        </w:tc>
        <w:tc>
          <w:tcPr>
            <w:tcW w:w="1005" w:type="dxa"/>
            <w:shd w:val="clear" w:color="auto" w:fill="auto"/>
            <w:vAlign w:val="center"/>
          </w:tcPr>
          <w:p w14:paraId="15853DD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5635B987">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含两侧剪切油缸、耳轴、连接件及安装支座</w:t>
            </w:r>
          </w:p>
        </w:tc>
        <w:tc>
          <w:tcPr>
            <w:tcW w:w="810" w:type="dxa"/>
            <w:shd w:val="clear" w:color="auto" w:fill="auto"/>
            <w:vAlign w:val="center"/>
          </w:tcPr>
          <w:p w14:paraId="063F0D72">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08A4C76D">
            <w:pPr>
              <w:jc w:val="center"/>
              <w:rPr>
                <w:rFonts w:hint="eastAsia" w:ascii="宋体" w:hAnsi="宋体" w:eastAsia="宋体" w:cs="Times New Roman"/>
                <w:color w:val="auto"/>
                <w:sz w:val="24"/>
                <w:szCs w:val="24"/>
                <w:highlight w:val="none"/>
                <w:lang w:val="en-US" w:eastAsia="zh-CN"/>
              </w:rPr>
            </w:pPr>
          </w:p>
        </w:tc>
      </w:tr>
      <w:tr w14:paraId="76249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095880D1">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3</w:t>
            </w:r>
          </w:p>
        </w:tc>
        <w:tc>
          <w:tcPr>
            <w:tcW w:w="2590" w:type="dxa"/>
            <w:shd w:val="clear" w:color="auto" w:fill="auto"/>
            <w:vAlign w:val="center"/>
          </w:tcPr>
          <w:p w14:paraId="456E35DA">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平动执行机构</w:t>
            </w:r>
          </w:p>
        </w:tc>
        <w:tc>
          <w:tcPr>
            <w:tcW w:w="1005" w:type="dxa"/>
            <w:shd w:val="clear" w:color="auto" w:fill="auto"/>
            <w:vAlign w:val="center"/>
          </w:tcPr>
          <w:p w14:paraId="5301F52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3B336A38">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含平动缸、导向件、限位件、缓冲件</w:t>
            </w:r>
          </w:p>
        </w:tc>
        <w:tc>
          <w:tcPr>
            <w:tcW w:w="810" w:type="dxa"/>
            <w:shd w:val="clear" w:color="auto" w:fill="auto"/>
            <w:vAlign w:val="center"/>
          </w:tcPr>
          <w:p w14:paraId="4EBC68ED">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325215F7">
            <w:pPr>
              <w:jc w:val="center"/>
              <w:rPr>
                <w:rFonts w:hint="eastAsia" w:ascii="宋体" w:hAnsi="宋体" w:eastAsia="宋体" w:cs="Times New Roman"/>
                <w:color w:val="auto"/>
                <w:sz w:val="24"/>
                <w:szCs w:val="24"/>
                <w:highlight w:val="none"/>
                <w:lang w:val="en-US" w:eastAsia="zh-CN"/>
              </w:rPr>
            </w:pPr>
          </w:p>
        </w:tc>
      </w:tr>
      <w:tr w14:paraId="6553D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380941F5">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4</w:t>
            </w:r>
          </w:p>
        </w:tc>
        <w:tc>
          <w:tcPr>
            <w:tcW w:w="2590" w:type="dxa"/>
            <w:shd w:val="clear" w:color="auto" w:fill="auto"/>
            <w:vAlign w:val="center"/>
          </w:tcPr>
          <w:p w14:paraId="7191DF8C">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压料机构</w:t>
            </w:r>
          </w:p>
        </w:tc>
        <w:tc>
          <w:tcPr>
            <w:tcW w:w="1005" w:type="dxa"/>
            <w:shd w:val="clear" w:color="auto" w:fill="auto"/>
            <w:vAlign w:val="center"/>
          </w:tcPr>
          <w:p w14:paraId="35499CE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46BCC79D">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含压料装置、连接件及必要调节件</w:t>
            </w:r>
          </w:p>
        </w:tc>
        <w:tc>
          <w:tcPr>
            <w:tcW w:w="810" w:type="dxa"/>
            <w:shd w:val="clear" w:color="auto" w:fill="auto"/>
            <w:vAlign w:val="center"/>
          </w:tcPr>
          <w:p w14:paraId="620822AB">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43B907D1">
            <w:pPr>
              <w:jc w:val="center"/>
              <w:rPr>
                <w:rFonts w:hint="eastAsia" w:ascii="宋体" w:hAnsi="宋体" w:eastAsia="宋体" w:cs="Times New Roman"/>
                <w:color w:val="auto"/>
                <w:sz w:val="24"/>
                <w:szCs w:val="24"/>
                <w:highlight w:val="none"/>
                <w:lang w:val="en-US" w:eastAsia="zh-CN"/>
              </w:rPr>
            </w:pPr>
          </w:p>
        </w:tc>
      </w:tr>
      <w:tr w14:paraId="124F5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4B5CF041">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5</w:t>
            </w:r>
          </w:p>
        </w:tc>
        <w:tc>
          <w:tcPr>
            <w:tcW w:w="2590" w:type="dxa"/>
            <w:shd w:val="clear" w:color="auto" w:fill="auto"/>
            <w:vAlign w:val="center"/>
          </w:tcPr>
          <w:p w14:paraId="51BC36F1">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液压阀组</w:t>
            </w:r>
          </w:p>
        </w:tc>
        <w:tc>
          <w:tcPr>
            <w:tcW w:w="1005" w:type="dxa"/>
            <w:shd w:val="clear" w:color="auto" w:fill="auto"/>
            <w:vAlign w:val="center"/>
          </w:tcPr>
          <w:p w14:paraId="495A0D1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7EAA25E7">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采用北京华德品牌或同等品牌，按现场阀台基座接口设计</w:t>
            </w:r>
          </w:p>
        </w:tc>
        <w:tc>
          <w:tcPr>
            <w:tcW w:w="810" w:type="dxa"/>
            <w:shd w:val="clear" w:color="auto" w:fill="auto"/>
            <w:vAlign w:val="center"/>
          </w:tcPr>
          <w:p w14:paraId="3F14B246">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22B0BF74">
            <w:pPr>
              <w:jc w:val="center"/>
              <w:rPr>
                <w:rFonts w:hint="eastAsia" w:ascii="宋体" w:hAnsi="宋体" w:eastAsia="宋体" w:cs="Times New Roman"/>
                <w:color w:val="auto"/>
                <w:sz w:val="24"/>
                <w:szCs w:val="24"/>
                <w:highlight w:val="none"/>
                <w:lang w:val="en-US" w:eastAsia="zh-CN"/>
              </w:rPr>
            </w:pPr>
          </w:p>
        </w:tc>
      </w:tr>
      <w:tr w14:paraId="609EB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5" w:hRule="atLeast"/>
        </w:trPr>
        <w:tc>
          <w:tcPr>
            <w:tcW w:w="1244" w:type="dxa"/>
            <w:shd w:val="clear" w:color="auto" w:fill="auto"/>
            <w:vAlign w:val="center"/>
          </w:tcPr>
          <w:p w14:paraId="333BF4E1">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6</w:t>
            </w:r>
          </w:p>
        </w:tc>
        <w:tc>
          <w:tcPr>
            <w:tcW w:w="2590" w:type="dxa"/>
            <w:shd w:val="clear" w:color="auto" w:fill="auto"/>
            <w:vAlign w:val="center"/>
          </w:tcPr>
          <w:p w14:paraId="40EF123D">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液压油管与接头</w:t>
            </w:r>
          </w:p>
        </w:tc>
        <w:tc>
          <w:tcPr>
            <w:tcW w:w="1005" w:type="dxa"/>
            <w:shd w:val="clear" w:color="auto" w:fill="auto"/>
            <w:vAlign w:val="center"/>
          </w:tcPr>
          <w:p w14:paraId="70ABB55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3A64954A">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含主机相关油管、接头及安装支架</w:t>
            </w:r>
          </w:p>
        </w:tc>
        <w:tc>
          <w:tcPr>
            <w:tcW w:w="810" w:type="dxa"/>
            <w:shd w:val="clear" w:color="auto" w:fill="auto"/>
            <w:vAlign w:val="center"/>
          </w:tcPr>
          <w:p w14:paraId="528F28E2">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2BB70F1B">
            <w:pPr>
              <w:jc w:val="center"/>
              <w:rPr>
                <w:rFonts w:hint="eastAsia" w:ascii="宋体" w:hAnsi="宋体" w:eastAsia="宋体" w:cs="Times New Roman"/>
                <w:color w:val="auto"/>
                <w:sz w:val="24"/>
                <w:szCs w:val="24"/>
                <w:highlight w:val="none"/>
                <w:lang w:val="en-US" w:eastAsia="zh-CN"/>
              </w:rPr>
            </w:pPr>
          </w:p>
        </w:tc>
      </w:tr>
      <w:tr w14:paraId="27F56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1D690109">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7</w:t>
            </w:r>
          </w:p>
        </w:tc>
        <w:tc>
          <w:tcPr>
            <w:tcW w:w="2590" w:type="dxa"/>
            <w:shd w:val="clear" w:color="auto" w:fill="auto"/>
            <w:vAlign w:val="center"/>
          </w:tcPr>
          <w:p w14:paraId="52F24C4A">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安全防护件</w:t>
            </w:r>
          </w:p>
        </w:tc>
        <w:tc>
          <w:tcPr>
            <w:tcW w:w="1005" w:type="dxa"/>
            <w:shd w:val="clear" w:color="auto" w:fill="auto"/>
            <w:vAlign w:val="center"/>
          </w:tcPr>
          <w:p w14:paraId="530A90A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2E16AB4F">
            <w:pPr>
              <w:jc w:val="center"/>
              <w:rPr>
                <w:rFonts w:hint="eastAsia" w:ascii="宋体" w:hAnsi="宋体" w:eastAsia="宋体" w:cs="Times New Roman"/>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lang w:val="en-US" w:eastAsia="zh-CN"/>
              </w:rPr>
              <w:t>含防护罩、警示标识及必要检修挡板</w:t>
            </w:r>
          </w:p>
        </w:tc>
        <w:tc>
          <w:tcPr>
            <w:tcW w:w="810" w:type="dxa"/>
            <w:shd w:val="clear" w:color="auto" w:fill="auto"/>
            <w:vAlign w:val="center"/>
          </w:tcPr>
          <w:p w14:paraId="57E71109">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3D8D7CDE">
            <w:pPr>
              <w:jc w:val="center"/>
              <w:rPr>
                <w:rFonts w:hint="eastAsia" w:ascii="宋体" w:hAnsi="宋体" w:eastAsia="宋体" w:cs="Times New Roman"/>
                <w:color w:val="auto"/>
                <w:sz w:val="24"/>
                <w:szCs w:val="24"/>
                <w:highlight w:val="none"/>
                <w:lang w:val="en-US" w:eastAsia="zh-CN"/>
              </w:rPr>
            </w:pPr>
          </w:p>
        </w:tc>
      </w:tr>
      <w:tr w14:paraId="669B6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10FD3D8C">
            <w:pPr>
              <w:jc w:val="center"/>
              <w:rPr>
                <w:rFonts w:hint="default"/>
                <w:bCs/>
                <w:sz w:val="24"/>
                <w:szCs w:val="24"/>
                <w:lang w:val="en-US" w:eastAsia="zh-CN"/>
              </w:rPr>
            </w:pPr>
            <w:r>
              <w:rPr>
                <w:rFonts w:hint="eastAsia"/>
                <w:bCs/>
                <w:sz w:val="24"/>
                <w:szCs w:val="24"/>
                <w:lang w:val="en-US" w:eastAsia="zh-CN"/>
              </w:rPr>
              <w:t>8</w:t>
            </w:r>
          </w:p>
        </w:tc>
        <w:tc>
          <w:tcPr>
            <w:tcW w:w="2590" w:type="dxa"/>
            <w:shd w:val="clear" w:color="auto" w:fill="auto"/>
            <w:vAlign w:val="center"/>
          </w:tcPr>
          <w:p w14:paraId="38CE771A">
            <w:pPr>
              <w:jc w:val="center"/>
              <w:rPr>
                <w:rFonts w:hint="eastAsia" w:eastAsia="宋体" w:cs="Times New Roman"/>
                <w:bCs/>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托辊装置、联轴器改造</w:t>
            </w:r>
          </w:p>
        </w:tc>
        <w:tc>
          <w:tcPr>
            <w:tcW w:w="1005" w:type="dxa"/>
            <w:shd w:val="clear" w:color="auto" w:fill="auto"/>
            <w:vAlign w:val="center"/>
          </w:tcPr>
          <w:p w14:paraId="072262D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c>
          <w:tcPr>
            <w:tcW w:w="2819" w:type="dxa"/>
            <w:shd w:val="clear" w:color="auto" w:fill="auto"/>
            <w:vAlign w:val="center"/>
          </w:tcPr>
          <w:p w14:paraId="6F3DF805">
            <w:pPr>
              <w:jc w:val="center"/>
              <w:rPr>
                <w:rFonts w:hint="eastAsia" w:eastAsia="宋体" w:cs="Times New Roman"/>
                <w:bCs/>
                <w:sz w:val="24"/>
                <w:szCs w:val="24"/>
                <w:lang w:val="en-US" w:eastAsia="zh-CN"/>
              </w:rPr>
            </w:pPr>
          </w:p>
        </w:tc>
        <w:tc>
          <w:tcPr>
            <w:tcW w:w="810" w:type="dxa"/>
            <w:shd w:val="clear" w:color="auto" w:fill="auto"/>
            <w:vAlign w:val="center"/>
          </w:tcPr>
          <w:p w14:paraId="0AB53596">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29A20806">
            <w:pPr>
              <w:jc w:val="center"/>
              <w:rPr>
                <w:rFonts w:hint="eastAsia" w:ascii="宋体" w:hAnsi="宋体" w:eastAsia="宋体" w:cs="Times New Roman"/>
                <w:color w:val="auto"/>
                <w:sz w:val="24"/>
                <w:szCs w:val="24"/>
                <w:highlight w:val="none"/>
                <w:lang w:val="en-US" w:eastAsia="zh-CN"/>
              </w:rPr>
            </w:pPr>
          </w:p>
        </w:tc>
      </w:tr>
      <w:tr w14:paraId="3818A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2AC35706">
            <w:pPr>
              <w:jc w:val="center"/>
              <w:rPr>
                <w:rFonts w:hint="default"/>
                <w:bCs/>
                <w:sz w:val="24"/>
                <w:szCs w:val="24"/>
                <w:lang w:val="en-US" w:eastAsia="zh-CN"/>
              </w:rPr>
            </w:pPr>
            <w:r>
              <w:rPr>
                <w:rFonts w:hint="eastAsia"/>
                <w:bCs/>
                <w:sz w:val="24"/>
                <w:szCs w:val="24"/>
                <w:lang w:val="en-US" w:eastAsia="zh-CN"/>
              </w:rPr>
              <w:t>9</w:t>
            </w:r>
          </w:p>
        </w:tc>
        <w:tc>
          <w:tcPr>
            <w:tcW w:w="2590" w:type="dxa"/>
            <w:shd w:val="clear" w:color="auto" w:fill="auto"/>
            <w:vAlign w:val="center"/>
          </w:tcPr>
          <w:p w14:paraId="52879C7C">
            <w:pPr>
              <w:jc w:val="center"/>
              <w:rPr>
                <w:rFonts w:hint="default"/>
                <w:bCs/>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铸轧班2号机剪刀改造项目综合</w:t>
            </w:r>
          </w:p>
        </w:tc>
        <w:tc>
          <w:tcPr>
            <w:tcW w:w="1005" w:type="dxa"/>
            <w:shd w:val="clear" w:color="auto" w:fill="auto"/>
            <w:vAlign w:val="center"/>
          </w:tcPr>
          <w:p w14:paraId="7723F05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bCs/>
                <w:sz w:val="24"/>
                <w:szCs w:val="24"/>
                <w:lang w:val="en-US" w:eastAsia="zh-CN"/>
              </w:rPr>
            </w:pPr>
            <w:r>
              <w:rPr>
                <w:rFonts w:hint="eastAsia"/>
                <w:bCs/>
                <w:sz w:val="24"/>
                <w:szCs w:val="24"/>
                <w:lang w:val="en-US" w:eastAsia="zh-CN"/>
              </w:rPr>
              <w:t>项</w:t>
            </w:r>
          </w:p>
        </w:tc>
        <w:tc>
          <w:tcPr>
            <w:tcW w:w="2819" w:type="dxa"/>
            <w:shd w:val="clear" w:color="auto" w:fill="auto"/>
            <w:vAlign w:val="center"/>
          </w:tcPr>
          <w:p w14:paraId="7DF62B73">
            <w:pPr>
              <w:jc w:val="center"/>
              <w:rPr>
                <w:rFonts w:hint="eastAsia" w:eastAsia="宋体" w:cs="Times New Roman"/>
                <w:bCs/>
                <w:sz w:val="24"/>
                <w:szCs w:val="24"/>
                <w:lang w:val="en-US" w:eastAsia="zh-CN"/>
              </w:rPr>
            </w:pPr>
          </w:p>
        </w:tc>
        <w:tc>
          <w:tcPr>
            <w:tcW w:w="810" w:type="dxa"/>
            <w:shd w:val="clear" w:color="auto" w:fill="auto"/>
            <w:vAlign w:val="center"/>
          </w:tcPr>
          <w:p w14:paraId="4E712C5A">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3E91355A">
            <w:pPr>
              <w:jc w:val="center"/>
              <w:rPr>
                <w:rFonts w:hint="eastAsia" w:ascii="宋体" w:hAnsi="宋体" w:eastAsia="宋体" w:cs="Times New Roman"/>
                <w:color w:val="auto"/>
                <w:sz w:val="24"/>
                <w:szCs w:val="24"/>
                <w:highlight w:val="none"/>
                <w:lang w:val="en-US" w:eastAsia="zh-CN"/>
              </w:rPr>
            </w:pPr>
          </w:p>
        </w:tc>
      </w:tr>
      <w:tr w14:paraId="0B3ED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8468" w:type="dxa"/>
            <w:gridSpan w:val="5"/>
            <w:shd w:val="clear" w:color="auto" w:fill="auto"/>
            <w:vAlign w:val="center"/>
          </w:tcPr>
          <w:p w14:paraId="661ABBB0">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合计（含税xx%）</w:t>
            </w:r>
          </w:p>
        </w:tc>
        <w:tc>
          <w:tcPr>
            <w:tcW w:w="810" w:type="dxa"/>
            <w:shd w:val="clear" w:color="auto" w:fill="auto"/>
            <w:vAlign w:val="center"/>
          </w:tcPr>
          <w:p w14:paraId="0179EBC9">
            <w:pPr>
              <w:adjustRightInd w:val="0"/>
              <w:snapToGrid w:val="0"/>
              <w:spacing w:line="240" w:lineRule="auto"/>
              <w:jc w:val="center"/>
              <w:rPr>
                <w:rFonts w:hint="eastAsia" w:ascii="宋体" w:hAnsi="宋体" w:eastAsia="宋体" w:cs="Times New Roman"/>
                <w:color w:val="auto"/>
                <w:sz w:val="24"/>
                <w:szCs w:val="24"/>
                <w:highlight w:val="none"/>
                <w:lang w:val="en-US" w:eastAsia="zh-CN"/>
              </w:rPr>
            </w:pPr>
          </w:p>
        </w:tc>
      </w:tr>
    </w:tbl>
    <w:p w14:paraId="7710A1DF">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报价要求：</w:t>
      </w:r>
    </w:p>
    <w:p w14:paraId="34BE1DB8">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该报价为含税总价，包含运费、税费、保险费、人工费、材料费等一切费用。</w:t>
      </w:r>
    </w:p>
    <w:p w14:paraId="3E425E6B">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提供详细的分项报价表。</w:t>
      </w:r>
    </w:p>
    <w:p w14:paraId="04191AEF">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公司名称（盖章）：</w:t>
      </w:r>
    </w:p>
    <w:p w14:paraId="19BD70F5">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p>
    <w:p w14:paraId="6E80B4F9">
      <w:pPr>
        <w:pStyle w:val="22"/>
        <w:jc w:val="both"/>
        <w:rPr>
          <w:rFonts w:hint="default" w:eastAsia="宋体"/>
          <w:color w:val="auto"/>
          <w:sz w:val="28"/>
          <w:szCs w:val="28"/>
          <w:highlight w:val="none"/>
          <w:lang w:val="en-US" w:eastAsia="zh-CN"/>
        </w:rPr>
      </w:pPr>
      <w:r>
        <w:rPr>
          <w:rFonts w:hint="eastAsia"/>
          <w:color w:val="auto"/>
          <w:sz w:val="28"/>
          <w:szCs w:val="28"/>
          <w:highlight w:val="none"/>
          <w:lang w:val="en-US" w:eastAsia="zh-CN"/>
        </w:rPr>
        <w:t>附件2</w:t>
      </w:r>
    </w:p>
    <w:p w14:paraId="293BD106">
      <w:pPr>
        <w:pStyle w:val="22"/>
        <w:jc w:val="center"/>
        <w:rPr>
          <w:rFonts w:hint="eastAsia"/>
          <w:color w:val="auto"/>
          <w:sz w:val="28"/>
          <w:szCs w:val="28"/>
          <w:highlight w:val="none"/>
          <w:lang w:eastAsia="zh-CN"/>
        </w:rPr>
      </w:pPr>
      <w:r>
        <w:rPr>
          <w:rFonts w:hint="eastAsia"/>
          <w:color w:val="auto"/>
          <w:sz w:val="28"/>
          <w:szCs w:val="28"/>
          <w:highlight w:val="none"/>
        </w:rPr>
        <w:t>授权委托书</w:t>
      </w:r>
    </w:p>
    <w:p w14:paraId="73F7AD45">
      <w:pPr>
        <w:pStyle w:val="19"/>
        <w:ind w:firstLine="480"/>
        <w:jc w:val="center"/>
        <w:rPr>
          <w:rFonts w:hint="eastAsia"/>
          <w:color w:val="auto"/>
          <w:highlight w:val="none"/>
        </w:rPr>
      </w:pPr>
      <w:r>
        <w:rPr>
          <w:rFonts w:hint="eastAsia"/>
          <w:color w:val="auto"/>
          <w:sz w:val="28"/>
          <w:szCs w:val="28"/>
          <w:highlight w:val="none"/>
        </w:rPr>
        <w:t>（适用于有委托代理人的情况）</w:t>
      </w:r>
    </w:p>
    <w:p w14:paraId="0DDF6706">
      <w:pPr>
        <w:pStyle w:val="19"/>
        <w:ind w:firstLine="480"/>
        <w:rPr>
          <w:rFonts w:hint="eastAsia"/>
          <w:color w:val="auto"/>
          <w:sz w:val="28"/>
          <w:szCs w:val="28"/>
          <w:highlight w:val="none"/>
        </w:rPr>
      </w:pPr>
      <w:r>
        <w:rPr>
          <w:color w:val="auto"/>
          <w:sz w:val="28"/>
          <w:szCs w:val="28"/>
          <w:highlight w:val="none"/>
        </w:rPr>
        <w:t>本人</w:t>
      </w:r>
      <w:r>
        <w:rPr>
          <w:color w:val="auto"/>
          <w:sz w:val="28"/>
          <w:szCs w:val="28"/>
          <w:highlight w:val="none"/>
          <w:u w:val="single"/>
        </w:rPr>
        <w:t>（姓名）</w:t>
      </w:r>
      <w:r>
        <w:rPr>
          <w:color w:val="auto"/>
          <w:sz w:val="28"/>
          <w:szCs w:val="28"/>
          <w:highlight w:val="none"/>
        </w:rPr>
        <w:t>系</w:t>
      </w:r>
      <w:r>
        <w:rPr>
          <w:color w:val="auto"/>
          <w:sz w:val="28"/>
          <w:szCs w:val="28"/>
          <w:highlight w:val="none"/>
          <w:u w:val="single"/>
        </w:rPr>
        <w:t>（供应商名称）</w:t>
      </w:r>
      <w:r>
        <w:rPr>
          <w:color w:val="auto"/>
          <w:sz w:val="28"/>
          <w:szCs w:val="28"/>
          <w:highlight w:val="none"/>
        </w:rPr>
        <w:t>的法定代表人</w:t>
      </w:r>
      <w:r>
        <w:rPr>
          <w:rFonts w:hint="eastAsia"/>
          <w:color w:val="auto"/>
          <w:sz w:val="28"/>
          <w:szCs w:val="28"/>
          <w:highlight w:val="none"/>
        </w:rPr>
        <w:t>（单位负责人）</w:t>
      </w:r>
      <w:r>
        <w:rPr>
          <w:color w:val="auto"/>
          <w:sz w:val="28"/>
          <w:szCs w:val="28"/>
          <w:highlight w:val="none"/>
        </w:rPr>
        <w:t>，现委托</w:t>
      </w:r>
      <w:bookmarkStart w:id="22" w:name="OLE_LINK3"/>
      <w:r>
        <w:rPr>
          <w:color w:val="auto"/>
          <w:sz w:val="28"/>
          <w:szCs w:val="28"/>
          <w:highlight w:val="none"/>
        </w:rPr>
        <w:t>（</w:t>
      </w:r>
      <w:bookmarkEnd w:id="22"/>
      <w:r>
        <w:rPr>
          <w:color w:val="auto"/>
          <w:sz w:val="28"/>
          <w:szCs w:val="28"/>
          <w:highlight w:val="none"/>
        </w:rPr>
        <w:t>姓名）为我方代理人</w:t>
      </w:r>
      <w:r>
        <w:rPr>
          <w:rFonts w:hint="eastAsia"/>
          <w:color w:val="auto"/>
          <w:sz w:val="28"/>
          <w:szCs w:val="28"/>
          <w:highlight w:val="none"/>
          <w:lang w:eastAsia="zh-CN"/>
        </w:rPr>
        <w:t>（</w:t>
      </w:r>
      <w:r>
        <w:rPr>
          <w:rFonts w:hint="eastAsia"/>
          <w:color w:val="auto"/>
          <w:sz w:val="28"/>
          <w:szCs w:val="28"/>
          <w:highlight w:val="none"/>
          <w:lang w:val="en-US" w:eastAsia="zh-CN"/>
        </w:rPr>
        <w:t>电话</w:t>
      </w:r>
      <w:r>
        <w:rPr>
          <w:rFonts w:hint="eastAsia"/>
          <w:color w:val="auto"/>
          <w:sz w:val="28"/>
          <w:szCs w:val="28"/>
          <w:highlight w:val="none"/>
          <w:lang w:eastAsia="zh-CN"/>
        </w:rPr>
        <w:t>）</w:t>
      </w:r>
      <w:r>
        <w:rPr>
          <w:color w:val="auto"/>
          <w:sz w:val="28"/>
          <w:szCs w:val="28"/>
          <w:highlight w:val="none"/>
        </w:rPr>
        <w:t>。代理人根据授权，以我方名义签署、澄清、说明、补正、递交、撤回、修改</w:t>
      </w:r>
      <w:r>
        <w:rPr>
          <w:color w:val="auto"/>
          <w:sz w:val="28"/>
          <w:szCs w:val="28"/>
          <w:highlight w:val="none"/>
          <w:u w:val="single"/>
        </w:rPr>
        <w:t>（项目名称）</w:t>
      </w:r>
      <w:r>
        <w:rPr>
          <w:rFonts w:hint="eastAsia"/>
          <w:color w:val="auto"/>
          <w:sz w:val="28"/>
          <w:szCs w:val="28"/>
          <w:highlight w:val="none"/>
        </w:rPr>
        <w:t>响应</w:t>
      </w:r>
      <w:r>
        <w:rPr>
          <w:color w:val="auto"/>
          <w:sz w:val="28"/>
          <w:szCs w:val="28"/>
          <w:highlight w:val="none"/>
        </w:rPr>
        <w:t>文件、签订合同和处理有关事宜，其法律后果由我方承担。</w:t>
      </w:r>
    </w:p>
    <w:p w14:paraId="52E9664F">
      <w:pPr>
        <w:pStyle w:val="19"/>
        <w:ind w:firstLine="480"/>
        <w:rPr>
          <w:rFonts w:hint="eastAsia"/>
          <w:color w:val="auto"/>
          <w:sz w:val="28"/>
          <w:szCs w:val="28"/>
          <w:highlight w:val="none"/>
        </w:rPr>
      </w:pPr>
      <w:r>
        <w:rPr>
          <w:color w:val="auto"/>
          <w:sz w:val="28"/>
          <w:szCs w:val="28"/>
          <w:highlight w:val="none"/>
        </w:rPr>
        <w:t>委托期限：</w:t>
      </w:r>
      <w:r>
        <w:rPr>
          <w:rFonts w:hint="eastAsia"/>
          <w:color w:val="auto"/>
          <w:sz w:val="28"/>
          <w:szCs w:val="28"/>
          <w:highlight w:val="none"/>
        </w:rPr>
        <w:t>自本委托书签署之日起至本项目签订采购合同之日止</w:t>
      </w:r>
      <w:r>
        <w:rPr>
          <w:color w:val="auto"/>
          <w:sz w:val="28"/>
          <w:szCs w:val="28"/>
          <w:highlight w:val="none"/>
        </w:rPr>
        <w:t>。</w:t>
      </w:r>
    </w:p>
    <w:p w14:paraId="2D21F929">
      <w:pPr>
        <w:pStyle w:val="19"/>
        <w:ind w:firstLine="480"/>
        <w:rPr>
          <w:rFonts w:hint="eastAsia"/>
          <w:color w:val="auto"/>
          <w:sz w:val="28"/>
          <w:szCs w:val="28"/>
          <w:highlight w:val="none"/>
        </w:rPr>
      </w:pPr>
      <w:r>
        <w:rPr>
          <w:color w:val="auto"/>
          <w:sz w:val="28"/>
          <w:szCs w:val="28"/>
          <w:highlight w:val="none"/>
        </w:rPr>
        <w:t>代理人无转委托权。</w:t>
      </w:r>
    </w:p>
    <w:p w14:paraId="147B1B45">
      <w:pPr>
        <w:pStyle w:val="19"/>
        <w:ind w:firstLine="480"/>
        <w:rPr>
          <w:rFonts w:hint="eastAsia"/>
          <w:color w:val="auto"/>
          <w:highlight w:val="none"/>
        </w:rPr>
      </w:pPr>
      <w:r>
        <w:rPr>
          <w:color w:val="auto"/>
          <w:sz w:val="28"/>
          <w:szCs w:val="28"/>
          <w:highlight w:val="none"/>
        </w:rPr>
        <w:t>附：</w:t>
      </w:r>
      <w:r>
        <w:rPr>
          <w:rFonts w:hint="eastAsia" w:cs="宋体"/>
          <w:color w:val="auto"/>
          <w:sz w:val="28"/>
          <w:szCs w:val="28"/>
          <w:highlight w:val="none"/>
        </w:rPr>
        <w:t>法定代表人（单位负责人）及</w:t>
      </w:r>
      <w:r>
        <w:rPr>
          <w:color w:val="auto"/>
          <w:sz w:val="28"/>
          <w:szCs w:val="28"/>
          <w:highlight w:val="none"/>
        </w:rPr>
        <w:t>授权委托代理人身份证（复印件）</w:t>
      </w:r>
      <w:r>
        <w:rPr>
          <w:rFonts w:hint="eastAsia"/>
          <w:color w:val="auto"/>
          <w:sz w:val="28"/>
          <w:szCs w:val="28"/>
          <w:highlight w:val="none"/>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B72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9" w:hRule="atLeast"/>
        </w:trPr>
        <w:tc>
          <w:tcPr>
            <w:tcW w:w="8522" w:type="dxa"/>
          </w:tcPr>
          <w:p w14:paraId="77CE9C5D">
            <w:pPr>
              <w:pStyle w:val="19"/>
              <w:ind w:firstLine="0" w:firstLineChars="0"/>
              <w:rPr>
                <w:rFonts w:hint="eastAsia"/>
                <w:color w:val="auto"/>
                <w:highlight w:val="none"/>
              </w:rPr>
            </w:pPr>
          </w:p>
        </w:tc>
      </w:tr>
    </w:tbl>
    <w:p w14:paraId="2C5B5A07">
      <w:pPr>
        <w:pStyle w:val="19"/>
        <w:ind w:firstLine="480"/>
        <w:jc w:val="right"/>
        <w:rPr>
          <w:rFonts w:hint="eastAsia"/>
          <w:color w:val="auto"/>
          <w:sz w:val="28"/>
          <w:szCs w:val="28"/>
          <w:highlight w:val="none"/>
          <w:u w:val="single"/>
        </w:rPr>
      </w:pPr>
      <w:r>
        <w:rPr>
          <w:color w:val="auto"/>
          <w:sz w:val="28"/>
          <w:szCs w:val="28"/>
          <w:highlight w:val="none"/>
        </w:rPr>
        <w:t>供应商</w:t>
      </w:r>
      <w:r>
        <w:rPr>
          <w:rFonts w:hint="eastAsia"/>
          <w:color w:val="auto"/>
          <w:sz w:val="28"/>
          <w:szCs w:val="28"/>
          <w:highlight w:val="none"/>
        </w:rPr>
        <w:t>：</w:t>
      </w:r>
      <w:r>
        <w:rPr>
          <w:rFonts w:hint="eastAsia"/>
          <w:color w:val="auto"/>
          <w:sz w:val="28"/>
          <w:szCs w:val="28"/>
          <w:highlight w:val="none"/>
          <w:u w:val="single"/>
        </w:rPr>
        <w:t>（盖单位章）</w:t>
      </w:r>
    </w:p>
    <w:p w14:paraId="17B79470">
      <w:pPr>
        <w:pStyle w:val="19"/>
        <w:ind w:firstLine="480"/>
        <w:jc w:val="right"/>
        <w:rPr>
          <w:rFonts w:hint="eastAsia"/>
          <w:color w:val="auto"/>
          <w:sz w:val="28"/>
          <w:szCs w:val="28"/>
          <w:highlight w:val="none"/>
          <w:u w:val="single"/>
        </w:rPr>
      </w:pPr>
      <w:r>
        <w:rPr>
          <w:rFonts w:hint="eastAsia"/>
          <w:color w:val="auto"/>
          <w:sz w:val="28"/>
          <w:szCs w:val="28"/>
          <w:highlight w:val="none"/>
        </w:rPr>
        <w:t>法定代表人（单位负责人）：</w:t>
      </w:r>
      <w:r>
        <w:rPr>
          <w:rFonts w:hint="eastAsia"/>
          <w:color w:val="auto"/>
          <w:sz w:val="28"/>
          <w:szCs w:val="28"/>
          <w:highlight w:val="none"/>
          <w:u w:val="single"/>
        </w:rPr>
        <w:t>（签字）</w:t>
      </w:r>
    </w:p>
    <w:p w14:paraId="6DC067E3">
      <w:pPr>
        <w:pStyle w:val="19"/>
        <w:wordWrap w:val="0"/>
        <w:ind w:firstLine="480"/>
        <w:jc w:val="right"/>
        <w:rPr>
          <w:rFonts w:hint="eastAsia"/>
          <w:color w:val="auto"/>
          <w:sz w:val="28"/>
          <w:szCs w:val="28"/>
          <w:highlight w:val="none"/>
        </w:rPr>
      </w:pPr>
      <w:r>
        <w:rPr>
          <w:rFonts w:hint="eastAsia"/>
          <w:color w:val="auto"/>
          <w:sz w:val="28"/>
          <w:szCs w:val="28"/>
          <w:highlight w:val="none"/>
        </w:rPr>
        <w:t>身份证号码：</w:t>
      </w:r>
    </w:p>
    <w:p w14:paraId="40DC251A">
      <w:pPr>
        <w:pStyle w:val="19"/>
        <w:ind w:firstLine="480"/>
        <w:jc w:val="right"/>
        <w:rPr>
          <w:rFonts w:hint="eastAsia"/>
          <w:color w:val="auto"/>
          <w:sz w:val="28"/>
          <w:szCs w:val="28"/>
          <w:highlight w:val="none"/>
          <w:u w:val="single"/>
        </w:rPr>
      </w:pPr>
      <w:r>
        <w:rPr>
          <w:rFonts w:hint="eastAsia"/>
          <w:color w:val="auto"/>
          <w:sz w:val="28"/>
          <w:szCs w:val="28"/>
          <w:highlight w:val="none"/>
        </w:rPr>
        <w:t>委托代理人：</w:t>
      </w:r>
      <w:r>
        <w:rPr>
          <w:rFonts w:hint="eastAsia"/>
          <w:color w:val="auto"/>
          <w:sz w:val="28"/>
          <w:szCs w:val="28"/>
          <w:highlight w:val="none"/>
          <w:u w:val="single"/>
        </w:rPr>
        <w:t>（签字）</w:t>
      </w:r>
    </w:p>
    <w:p w14:paraId="737EAD99">
      <w:pPr>
        <w:pStyle w:val="19"/>
        <w:wordWrap w:val="0"/>
        <w:ind w:firstLine="480"/>
        <w:jc w:val="right"/>
        <w:rPr>
          <w:rFonts w:hint="eastAsia"/>
          <w:color w:val="auto"/>
          <w:sz w:val="28"/>
          <w:szCs w:val="28"/>
          <w:highlight w:val="none"/>
        </w:rPr>
      </w:pPr>
      <w:r>
        <w:rPr>
          <w:rFonts w:hint="eastAsia"/>
          <w:color w:val="auto"/>
          <w:sz w:val="28"/>
          <w:szCs w:val="28"/>
          <w:highlight w:val="none"/>
        </w:rPr>
        <w:t>身份证号码：</w:t>
      </w:r>
    </w:p>
    <w:p w14:paraId="35D43DBA">
      <w:pPr>
        <w:ind w:left="0" w:leftChars="0" w:firstLine="6720" w:firstLineChars="2400"/>
        <w:rPr>
          <w:rFonts w:hint="eastAsia"/>
          <w:color w:val="auto"/>
          <w:sz w:val="28"/>
          <w:szCs w:val="28"/>
          <w:highlight w:val="none"/>
          <w:lang w:val="en-US" w:eastAsia="zh-CN"/>
        </w:rPr>
      </w:pPr>
      <w:r>
        <w:rPr>
          <w:rFonts w:hint="eastAsia"/>
          <w:color w:val="auto"/>
          <w:sz w:val="28"/>
          <w:szCs w:val="28"/>
          <w:highlight w:val="none"/>
        </w:rPr>
        <w:t>年</w:t>
      </w:r>
      <w:r>
        <w:rPr>
          <w:rFonts w:hint="eastAsia"/>
          <w:color w:val="auto"/>
          <w:sz w:val="28"/>
          <w:szCs w:val="28"/>
          <w:highlight w:val="none"/>
          <w:lang w:val="en-US" w:eastAsia="zh-CN"/>
        </w:rPr>
        <w:t xml:space="preserve">  </w:t>
      </w:r>
      <w:r>
        <w:rPr>
          <w:rFonts w:hint="eastAsia"/>
          <w:color w:val="auto"/>
          <w:sz w:val="28"/>
          <w:szCs w:val="28"/>
          <w:highlight w:val="none"/>
        </w:rPr>
        <w:t>月</w:t>
      </w:r>
      <w:r>
        <w:rPr>
          <w:rFonts w:hint="eastAsia"/>
          <w:color w:val="auto"/>
          <w:sz w:val="28"/>
          <w:szCs w:val="28"/>
          <w:highlight w:val="none"/>
          <w:lang w:val="en-US" w:eastAsia="zh-CN"/>
        </w:rPr>
        <w:t xml:space="preserve">  </w:t>
      </w:r>
      <w:r>
        <w:rPr>
          <w:rFonts w:hint="eastAsia"/>
          <w:color w:val="auto"/>
          <w:sz w:val="28"/>
          <w:szCs w:val="28"/>
          <w:highlight w:val="none"/>
        </w:rPr>
        <w:t>日</w:t>
      </w:r>
      <w:r>
        <w:rPr>
          <w:rFonts w:hint="eastAsia"/>
          <w:color w:val="auto"/>
          <w:sz w:val="28"/>
          <w:szCs w:val="28"/>
          <w:highlight w:val="none"/>
          <w:lang w:val="en-US" w:eastAsia="zh-CN"/>
        </w:rPr>
        <w:t xml:space="preserve"> </w:t>
      </w:r>
    </w:p>
    <w:p w14:paraId="6D3A1903">
      <w:pPr>
        <w:ind w:left="0" w:leftChars="0" w:firstLine="6720" w:firstLineChars="2400"/>
        <w:rPr>
          <w:rFonts w:hint="eastAsia"/>
          <w:color w:val="auto"/>
          <w:sz w:val="28"/>
          <w:szCs w:val="28"/>
          <w:highlight w:val="none"/>
          <w:lang w:val="en-US" w:eastAsia="zh-CN"/>
        </w:rPr>
      </w:pPr>
    </w:p>
    <w:p w14:paraId="6C193B8D">
      <w:pPr>
        <w:pStyle w:val="5"/>
        <w:rPr>
          <w:rFonts w:hint="default" w:asciiTheme="minorEastAsia" w:hAnsiTheme="minorEastAsia" w:cstheme="minorEastAsia"/>
          <w:b/>
          <w:bCs/>
          <w:color w:val="auto"/>
          <w:sz w:val="28"/>
          <w:szCs w:val="28"/>
          <w:highlight w:val="none"/>
          <w:lang w:val="en-US" w:eastAsia="zh-CN"/>
        </w:rPr>
      </w:pPr>
    </w:p>
    <w:p w14:paraId="2D297926">
      <w:pPr>
        <w:keepNext w:val="0"/>
        <w:keepLines w:val="0"/>
        <w:widowControl/>
        <w:numPr>
          <w:ilvl w:val="0"/>
          <w:numId w:val="0"/>
        </w:numPr>
        <w:suppressLineNumbers w:val="0"/>
        <w:jc w:val="left"/>
        <w:rPr>
          <w:rFonts w:hint="eastAsia"/>
          <w:b/>
          <w:bCs/>
          <w:sz w:val="32"/>
          <w:szCs w:val="32"/>
          <w:lang w:val="en-US" w:eastAsia="zh-CN"/>
        </w:rPr>
      </w:pPr>
    </w:p>
    <w:p w14:paraId="63E1869B">
      <w:pPr>
        <w:widowControl/>
        <w:overflowPunct w:val="0"/>
        <w:spacing w:line="480" w:lineRule="exact"/>
        <w:ind w:firstLine="562" w:firstLineChars="200"/>
        <w:jc w:val="left"/>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附件3</w:t>
      </w:r>
    </w:p>
    <w:p w14:paraId="613CC722">
      <w:pPr>
        <w:widowControl/>
        <w:wordWrap w:val="0"/>
        <w:jc w:val="center"/>
        <w:rPr>
          <w:rFonts w:hint="eastAsia"/>
        </w:rPr>
      </w:pPr>
      <w:r>
        <w:rPr>
          <w:rFonts w:hint="eastAsia" w:ascii="方正小标宋简体" w:hAnsi="方正小标宋简体" w:eastAsia="方正小标宋简体" w:cs="方正小标宋简体"/>
          <w:spacing w:val="-10"/>
          <w:kern w:val="0"/>
          <w:sz w:val="36"/>
          <w:szCs w:val="36"/>
          <w:lang w:val="en-US" w:eastAsia="zh-CN"/>
        </w:rPr>
        <w:t>浩鑫厂铸轧2号机剪刀改造技术</w:t>
      </w:r>
      <w:r>
        <w:rPr>
          <w:rFonts w:hint="eastAsia" w:ascii="方正小标宋简体" w:hAnsi="方正小标宋简体" w:eastAsia="方正小标宋简体" w:cs="方正小标宋简体"/>
          <w:spacing w:val="-10"/>
          <w:kern w:val="0"/>
          <w:sz w:val="36"/>
          <w:szCs w:val="36"/>
        </w:rPr>
        <w:t>文件</w:t>
      </w:r>
    </w:p>
    <w:p w14:paraId="736BEE0C">
      <w:pPr>
        <w:keepNext w:val="0"/>
        <w:keepLines w:val="0"/>
        <w:pageBreakBefore w:val="0"/>
        <w:kinsoku/>
        <w:wordWrap/>
        <w:topLinePunct w:val="0"/>
        <w:autoSpaceDE/>
        <w:autoSpaceDN/>
        <w:bidi w:val="0"/>
        <w:adjustRightInd/>
        <w:spacing w:before="4" w:line="560" w:lineRule="exact"/>
        <w:textAlignment w:val="auto"/>
        <w:rPr>
          <w:rFonts w:hint="eastAsia" w:ascii="宋体" w:hAnsi="宋体" w:cs="宋体"/>
          <w:b/>
          <w:bCs/>
          <w:color w:val="000000"/>
          <w:sz w:val="28"/>
          <w:szCs w:val="28"/>
        </w:rPr>
      </w:pPr>
      <w:r>
        <w:rPr>
          <w:rFonts w:hint="eastAsia" w:ascii="宋体" w:hAnsi="宋体" w:cs="宋体"/>
          <w:b/>
          <w:bCs/>
          <w:color w:val="000000"/>
          <w:sz w:val="28"/>
          <w:szCs w:val="28"/>
        </w:rPr>
        <w:t>一、项目概况</w:t>
      </w:r>
    </w:p>
    <w:p w14:paraId="75C49B1C">
      <w:pPr>
        <w:keepNext w:val="0"/>
        <w:keepLines w:val="0"/>
        <w:widowControl/>
        <w:suppressLineNumbers w:val="0"/>
        <w:ind w:firstLine="560" w:firstLineChars="200"/>
        <w:jc w:val="left"/>
        <w:rPr>
          <w:rFonts w:hint="eastAsia" w:ascii="仿宋_GB2312" w:hAnsi="仿宋_GB2312" w:eastAsia="仿宋_GB2312" w:cs="仿宋_GB2312"/>
          <w:sz w:val="28"/>
          <w:szCs w:val="28"/>
          <w:lang w:val="en-US" w:eastAsia="zh-CN"/>
        </w:rPr>
      </w:pPr>
      <w:r>
        <w:rPr>
          <w:rFonts w:hint="eastAsia" w:ascii="方正仿宋_GB2312" w:hAnsi="方正仿宋_GB2312" w:eastAsia="方正仿宋_GB2312" w:cs="方正仿宋_GB2312"/>
          <w:color w:val="000000"/>
          <w:sz w:val="28"/>
          <w:szCs w:val="28"/>
        </w:rPr>
        <w:t>浩鑫厂铸轧班 2# 铸轧机原装剪刀存在先天设计缺陷，设备在日常剪板作业过程中，经常性出现剪切完成后刀架无法自动回弹、机构动作失效、抵板误碰停机等多种故障。受故障影响，该设备每年造成非计划停机 8 至 10 次，频繁打断铸轧连续生产</w:t>
      </w:r>
      <w:r>
        <w:rPr>
          <w:rFonts w:hint="eastAsia" w:ascii="方正仿宋_GB2312" w:hAnsi="方正仿宋_GB2312" w:eastAsia="方正仿宋_GB2312" w:cs="方正仿宋_GB2312"/>
          <w:color w:val="000000"/>
          <w:sz w:val="28"/>
          <w:szCs w:val="28"/>
          <w:lang w:val="en-US" w:eastAsia="zh-CN"/>
        </w:rPr>
        <w:t>同时异常停机存在较大安全隐患</w:t>
      </w:r>
      <w:r>
        <w:rPr>
          <w:rFonts w:hint="eastAsia" w:ascii="方正仿宋_GB2312" w:hAnsi="方正仿宋_GB2312" w:eastAsia="方正仿宋_GB2312" w:cs="方正仿宋_GB2312"/>
          <w:color w:val="000000"/>
          <w:sz w:val="28"/>
          <w:szCs w:val="28"/>
        </w:rPr>
        <w:t>，制约机组产能释放，现有结构已无法满足连续化生产运行标准。为彻底消除结构性隐患，稳定设备运行状态，拟开展整套剪刀专项设计改造工作。通过重新优化传动结构、回弹机构与抵板限位结构，从设计根源处置现存</w:t>
      </w:r>
      <w:r>
        <w:rPr>
          <w:rFonts w:hint="eastAsia" w:ascii="方正仿宋_GB2312" w:hAnsi="方正仿宋_GB2312" w:eastAsia="方正仿宋_GB2312" w:cs="方正仿宋_GB2312"/>
          <w:color w:val="000000"/>
          <w:sz w:val="28"/>
          <w:szCs w:val="28"/>
          <w:lang w:val="en-US" w:eastAsia="zh-CN"/>
        </w:rPr>
        <w:t>问题</w:t>
      </w:r>
      <w:r>
        <w:rPr>
          <w:rFonts w:hint="eastAsia" w:ascii="方正仿宋_GB2312" w:hAnsi="方正仿宋_GB2312" w:eastAsia="方正仿宋_GB2312" w:cs="方正仿宋_GB2312"/>
          <w:color w:val="000000"/>
          <w:sz w:val="28"/>
          <w:szCs w:val="28"/>
        </w:rPr>
        <w:t>，</w:t>
      </w:r>
      <w:r>
        <w:rPr>
          <w:rFonts w:hint="eastAsia" w:ascii="方正仿宋_GB2312" w:hAnsi="方正仿宋_GB2312" w:eastAsia="方正仿宋_GB2312" w:cs="方正仿宋_GB2312"/>
          <w:color w:val="000000"/>
          <w:sz w:val="28"/>
          <w:szCs w:val="28"/>
          <w:lang w:val="en-US" w:eastAsia="zh-CN"/>
        </w:rPr>
        <w:t>确</w:t>
      </w:r>
      <w:r>
        <w:rPr>
          <w:rFonts w:hint="eastAsia" w:ascii="方正仿宋_GB2312" w:hAnsi="方正仿宋_GB2312" w:eastAsia="方正仿宋_GB2312" w:cs="方正仿宋_GB2312"/>
          <w:color w:val="000000"/>
          <w:sz w:val="28"/>
          <w:szCs w:val="28"/>
        </w:rPr>
        <w:t>实减少非正常停机，提升 2# 铸轧机运行可靠性与生产连续性。</w:t>
      </w:r>
    </w:p>
    <w:p w14:paraId="5A55434E">
      <w:pPr>
        <w:keepNext w:val="0"/>
        <w:keepLines w:val="0"/>
        <w:pageBreakBefore w:val="0"/>
        <w:kinsoku/>
        <w:wordWrap/>
        <w:topLinePunct w:val="0"/>
        <w:autoSpaceDE/>
        <w:autoSpaceDN/>
        <w:bidi w:val="0"/>
        <w:adjustRightInd/>
        <w:spacing w:before="4" w:line="560" w:lineRule="exact"/>
        <w:textAlignment w:val="auto"/>
        <w:rPr>
          <w:rFonts w:hint="eastAsia" w:ascii="方正仿宋_GB2312" w:hAnsi="方正仿宋_GB2312" w:eastAsia="方正仿宋_GB2312" w:cs="方正仿宋_GB2312"/>
          <w:color w:val="000000"/>
          <w:sz w:val="28"/>
          <w:szCs w:val="28"/>
          <w:lang w:val="en-US" w:eastAsia="zh-CN"/>
        </w:rPr>
      </w:pPr>
    </w:p>
    <w:p w14:paraId="763DF70B">
      <w:pPr>
        <w:keepNext w:val="0"/>
        <w:keepLines w:val="0"/>
        <w:pageBreakBefore w:val="0"/>
        <w:numPr>
          <w:ilvl w:val="0"/>
          <w:numId w:val="3"/>
        </w:numPr>
        <w:kinsoku/>
        <w:wordWrap/>
        <w:topLinePunct w:val="0"/>
        <w:autoSpaceDE/>
        <w:autoSpaceDN/>
        <w:bidi w:val="0"/>
        <w:adjustRightInd/>
        <w:spacing w:before="4" w:line="560" w:lineRule="exact"/>
        <w:textAlignment w:val="auto"/>
        <w:rPr>
          <w:rFonts w:hint="eastAsia" w:ascii="宋体" w:hAnsi="宋体" w:cs="宋体"/>
          <w:b/>
          <w:bCs/>
          <w:color w:val="000000"/>
          <w:sz w:val="28"/>
          <w:szCs w:val="28"/>
        </w:rPr>
      </w:pPr>
      <w:r>
        <w:rPr>
          <w:rFonts w:hint="eastAsia" w:ascii="宋体" w:hAnsi="宋体" w:cs="宋体"/>
          <w:b/>
          <w:bCs/>
          <w:color w:val="000000"/>
          <w:sz w:val="28"/>
          <w:szCs w:val="28"/>
          <w:lang w:val="en-US" w:eastAsia="zh-CN"/>
        </w:rPr>
        <w:t>项目清单一览表</w:t>
      </w:r>
    </w:p>
    <w:tbl>
      <w:tblPr>
        <w:tblStyle w:val="13"/>
        <w:tblpPr w:leftFromText="180" w:rightFromText="180" w:vertAnchor="text" w:horzAnchor="page" w:tblpX="1090" w:tblpY="293"/>
        <w:tblOverlap w:val="never"/>
        <w:tblW w:w="8741" w:type="dxa"/>
        <w:tblInd w:w="0" w:type="dxa"/>
        <w:tblLayout w:type="fixed"/>
        <w:tblCellMar>
          <w:top w:w="0" w:type="dxa"/>
          <w:left w:w="108" w:type="dxa"/>
          <w:bottom w:w="0" w:type="dxa"/>
          <w:right w:w="108" w:type="dxa"/>
        </w:tblCellMar>
      </w:tblPr>
      <w:tblGrid>
        <w:gridCol w:w="942"/>
        <w:gridCol w:w="3210"/>
        <w:gridCol w:w="669"/>
        <w:gridCol w:w="927"/>
        <w:gridCol w:w="927"/>
        <w:gridCol w:w="2066"/>
      </w:tblGrid>
      <w:tr w14:paraId="04BDF153">
        <w:trPr>
          <w:trHeight w:val="636" w:hRule="atLeast"/>
        </w:trPr>
        <w:tc>
          <w:tcPr>
            <w:tcW w:w="942" w:type="dxa"/>
            <w:tcBorders>
              <w:top w:val="single" w:color="auto" w:sz="4" w:space="0"/>
              <w:left w:val="single" w:color="auto" w:sz="4" w:space="0"/>
              <w:bottom w:val="single" w:color="auto" w:sz="4" w:space="0"/>
              <w:right w:val="single" w:color="auto" w:sz="4" w:space="0"/>
            </w:tcBorders>
            <w:noWrap w:val="0"/>
            <w:vAlign w:val="center"/>
          </w:tcPr>
          <w:p w14:paraId="28A8701C">
            <w:pPr>
              <w:widowControl/>
              <w:ind w:right="-2"/>
              <w:jc w:val="center"/>
              <w:rPr>
                <w:rFonts w:hint="default" w:ascii="Times New Roman" w:hAnsi="Times New Roman" w:eastAsia="宋体" w:cs="Times New Roman"/>
                <w:b w:val="0"/>
                <w:bCs w:val="0"/>
                <w:spacing w:val="20"/>
                <w:kern w:val="2"/>
                <w:sz w:val="24"/>
                <w:szCs w:val="24"/>
                <w:lang w:val="en-US" w:eastAsia="zh-CN" w:bidi="ar-SA"/>
              </w:rPr>
            </w:pPr>
            <w:r>
              <w:rPr>
                <w:rFonts w:hint="eastAsia" w:ascii="Times New Roman" w:hAnsi="Times New Roman" w:eastAsia="宋体" w:cs="Times New Roman"/>
                <w:b w:val="0"/>
                <w:bCs w:val="0"/>
                <w:spacing w:val="20"/>
                <w:kern w:val="2"/>
                <w:sz w:val="24"/>
                <w:szCs w:val="24"/>
                <w:lang w:val="en-US" w:eastAsia="zh-CN" w:bidi="ar-SA"/>
              </w:rPr>
              <w:t>序号</w:t>
            </w:r>
          </w:p>
        </w:tc>
        <w:tc>
          <w:tcPr>
            <w:tcW w:w="3210" w:type="dxa"/>
            <w:tcBorders>
              <w:top w:val="single" w:color="auto" w:sz="4" w:space="0"/>
              <w:left w:val="single" w:color="auto" w:sz="4" w:space="0"/>
              <w:bottom w:val="single" w:color="auto" w:sz="4" w:space="0"/>
              <w:right w:val="single" w:color="auto" w:sz="4" w:space="0"/>
            </w:tcBorders>
            <w:noWrap w:val="0"/>
            <w:vAlign w:val="center"/>
          </w:tcPr>
          <w:p w14:paraId="275D2E94">
            <w:pPr>
              <w:widowControl/>
              <w:ind w:right="-2"/>
              <w:jc w:val="center"/>
              <w:rPr>
                <w:rFonts w:hint="default" w:ascii="Times New Roman" w:hAnsi="Times New Roman" w:eastAsia="宋体" w:cs="Times New Roman"/>
                <w:b w:val="0"/>
                <w:bCs w:val="0"/>
                <w:spacing w:val="20"/>
                <w:kern w:val="2"/>
                <w:sz w:val="24"/>
                <w:szCs w:val="24"/>
                <w:lang w:val="en-US" w:eastAsia="zh-CN" w:bidi="ar-SA"/>
              </w:rPr>
            </w:pPr>
            <w:r>
              <w:rPr>
                <w:rFonts w:hint="eastAsia" w:ascii="Times New Roman" w:hAnsi="Times New Roman" w:eastAsia="宋体" w:cs="Times New Roman"/>
                <w:b w:val="0"/>
                <w:bCs w:val="0"/>
                <w:spacing w:val="20"/>
                <w:kern w:val="2"/>
                <w:sz w:val="24"/>
                <w:szCs w:val="24"/>
                <w:lang w:val="en-US" w:eastAsia="zh-CN" w:bidi="ar-SA"/>
              </w:rPr>
              <w:t>项目名称</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632BC3A0">
            <w:pPr>
              <w:ind w:right="-2"/>
              <w:jc w:val="center"/>
              <w:rPr>
                <w:rFonts w:hint="eastAsia" w:ascii="Times New Roman" w:hAnsi="Times New Roman" w:eastAsia="宋体" w:cs="Times New Roman"/>
                <w:b w:val="0"/>
                <w:bCs w:val="0"/>
                <w:spacing w:val="20"/>
                <w:kern w:val="2"/>
                <w:sz w:val="24"/>
                <w:szCs w:val="24"/>
                <w:lang w:val="en-US" w:eastAsia="zh-CN" w:bidi="ar-SA"/>
              </w:rPr>
            </w:pPr>
            <w:r>
              <w:rPr>
                <w:rFonts w:hint="eastAsia" w:ascii="Times New Roman" w:hAnsi="Times New Roman" w:eastAsia="宋体" w:cs="Times New Roman"/>
                <w:b w:val="0"/>
                <w:bCs w:val="0"/>
                <w:spacing w:val="20"/>
                <w:kern w:val="2"/>
                <w:sz w:val="24"/>
                <w:szCs w:val="24"/>
                <w:lang w:val="en-US" w:eastAsia="zh-CN" w:bidi="ar-SA"/>
              </w:rPr>
              <w:t>单位</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48914B08">
            <w:pPr>
              <w:ind w:right="-2"/>
              <w:jc w:val="center"/>
              <w:rPr>
                <w:rFonts w:hint="default" w:ascii="Times New Roman" w:hAnsi="Times New Roman" w:eastAsia="宋体" w:cs="Times New Roman"/>
                <w:b w:val="0"/>
                <w:bCs w:val="0"/>
                <w:spacing w:val="20"/>
                <w:kern w:val="2"/>
                <w:sz w:val="24"/>
                <w:szCs w:val="24"/>
                <w:lang w:val="en-US" w:eastAsia="zh-CN" w:bidi="ar-SA"/>
              </w:rPr>
            </w:pPr>
            <w:r>
              <w:rPr>
                <w:rFonts w:hint="eastAsia" w:ascii="Times New Roman" w:hAnsi="Times New Roman" w:eastAsia="宋体" w:cs="Times New Roman"/>
                <w:b w:val="0"/>
                <w:bCs w:val="0"/>
                <w:spacing w:val="20"/>
                <w:kern w:val="2"/>
                <w:sz w:val="24"/>
                <w:szCs w:val="24"/>
                <w:lang w:val="en-US" w:eastAsia="zh-CN" w:bidi="ar-SA"/>
              </w:rPr>
              <w:t>数量</w:t>
            </w:r>
          </w:p>
        </w:tc>
        <w:tc>
          <w:tcPr>
            <w:tcW w:w="2993" w:type="dxa"/>
            <w:gridSpan w:val="2"/>
            <w:tcBorders>
              <w:top w:val="single" w:color="auto" w:sz="4" w:space="0"/>
              <w:left w:val="single" w:color="auto" w:sz="4" w:space="0"/>
              <w:bottom w:val="single" w:color="auto" w:sz="4" w:space="0"/>
              <w:right w:val="single" w:color="auto" w:sz="4" w:space="0"/>
            </w:tcBorders>
            <w:noWrap w:val="0"/>
            <w:vAlign w:val="center"/>
          </w:tcPr>
          <w:p w14:paraId="4CBE2286">
            <w:pPr>
              <w:ind w:right="-2"/>
              <w:jc w:val="center"/>
              <w:rPr>
                <w:rFonts w:hint="default" w:cs="Times New Roman"/>
                <w:b w:val="0"/>
                <w:bCs w:val="0"/>
                <w:spacing w:val="20"/>
                <w:kern w:val="2"/>
                <w:sz w:val="24"/>
                <w:szCs w:val="24"/>
                <w:lang w:val="en-US" w:eastAsia="zh-CN" w:bidi="ar-SA"/>
              </w:rPr>
            </w:pPr>
            <w:r>
              <w:rPr>
                <w:rFonts w:hint="eastAsia" w:cs="Times New Roman"/>
                <w:b w:val="0"/>
                <w:bCs w:val="0"/>
                <w:spacing w:val="20"/>
                <w:kern w:val="2"/>
                <w:sz w:val="24"/>
                <w:szCs w:val="24"/>
                <w:lang w:val="en-US" w:eastAsia="zh-CN" w:bidi="ar-SA"/>
              </w:rPr>
              <w:t>备注</w:t>
            </w:r>
          </w:p>
        </w:tc>
      </w:tr>
      <w:tr w14:paraId="4FBA3F61">
        <w:tblPrEx>
          <w:tblCellMar>
            <w:top w:w="0" w:type="dxa"/>
            <w:left w:w="108" w:type="dxa"/>
            <w:bottom w:w="0" w:type="dxa"/>
            <w:right w:w="108" w:type="dxa"/>
          </w:tblCellMar>
        </w:tblPrEx>
        <w:trPr>
          <w:trHeight w:val="991" w:hRule="atLeast"/>
        </w:trPr>
        <w:tc>
          <w:tcPr>
            <w:tcW w:w="942" w:type="dxa"/>
            <w:tcBorders>
              <w:top w:val="single" w:color="auto" w:sz="4" w:space="0"/>
              <w:left w:val="single" w:color="auto" w:sz="4" w:space="0"/>
              <w:bottom w:val="single" w:color="auto" w:sz="4" w:space="0"/>
              <w:right w:val="single" w:color="auto" w:sz="4" w:space="0"/>
            </w:tcBorders>
            <w:noWrap w:val="0"/>
            <w:vAlign w:val="center"/>
          </w:tcPr>
          <w:p w14:paraId="0EB475F7">
            <w:pPr>
              <w:jc w:val="center"/>
              <w:rPr>
                <w:rFonts w:hint="default" w:ascii="Times New Roman" w:hAnsi="Times New Roman" w:eastAsia="宋体" w:cs="Times New Roman"/>
                <w:b w:val="0"/>
                <w:bCs w:val="0"/>
                <w:spacing w:val="20"/>
                <w:kern w:val="2"/>
                <w:sz w:val="24"/>
                <w:szCs w:val="24"/>
                <w:lang w:val="en-US" w:eastAsia="zh-CN" w:bidi="ar-SA"/>
              </w:rPr>
            </w:pPr>
            <w:r>
              <w:rPr>
                <w:rFonts w:hint="eastAsia" w:cs="Times New Roman"/>
                <w:b w:val="0"/>
                <w:bCs w:val="0"/>
                <w:spacing w:val="20"/>
                <w:kern w:val="2"/>
                <w:sz w:val="24"/>
                <w:szCs w:val="24"/>
                <w:lang w:val="en-US" w:eastAsia="zh-CN" w:bidi="ar-SA"/>
              </w:rPr>
              <w:t>1</w:t>
            </w:r>
          </w:p>
        </w:tc>
        <w:tc>
          <w:tcPr>
            <w:tcW w:w="3210" w:type="dxa"/>
            <w:tcBorders>
              <w:top w:val="single" w:color="auto" w:sz="4" w:space="0"/>
              <w:left w:val="single" w:color="auto" w:sz="4" w:space="0"/>
              <w:bottom w:val="single" w:color="auto" w:sz="4" w:space="0"/>
              <w:right w:val="single" w:color="auto" w:sz="4" w:space="0"/>
            </w:tcBorders>
            <w:noWrap w:val="0"/>
            <w:vAlign w:val="center"/>
          </w:tcPr>
          <w:p w14:paraId="1F4CDEA8">
            <w:pPr>
              <w:jc w:val="both"/>
              <w:rPr>
                <w:rFonts w:hint="default" w:cs="Times New Roman"/>
                <w:iCs/>
                <w:color w:val="000000"/>
                <w:kern w:val="0"/>
                <w:sz w:val="24"/>
                <w:szCs w:val="24"/>
                <w:lang w:val="en-US" w:eastAsia="zh-CN"/>
              </w:rPr>
            </w:pPr>
            <w:r>
              <w:rPr>
                <w:rFonts w:hint="default" w:cs="Times New Roman"/>
                <w:iCs/>
                <w:color w:val="000000"/>
                <w:kern w:val="0"/>
                <w:sz w:val="24"/>
                <w:szCs w:val="24"/>
                <w:lang w:val="en-US" w:eastAsia="zh-CN"/>
              </w:rPr>
              <w:t>浩鑫厂铸轧2号机剪刀改造</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78222889">
            <w:pPr>
              <w:ind w:left="19" w:leftChars="0" w:right="-2" w:hanging="19" w:hangingChars="7"/>
              <w:jc w:val="center"/>
              <w:rPr>
                <w:rFonts w:hint="default" w:ascii="Times New Roman" w:hAnsi="Times New Roman" w:eastAsia="宋体" w:cs="Times New Roman"/>
                <w:b w:val="0"/>
                <w:bCs w:val="0"/>
                <w:spacing w:val="20"/>
                <w:kern w:val="2"/>
                <w:sz w:val="24"/>
                <w:szCs w:val="24"/>
                <w:lang w:val="en-US" w:eastAsia="zh-CN" w:bidi="ar-SA"/>
              </w:rPr>
            </w:pPr>
            <w:r>
              <w:rPr>
                <w:rFonts w:hint="eastAsia" w:ascii="Times New Roman" w:hAnsi="Times New Roman" w:eastAsia="宋体" w:cs="Times New Roman"/>
                <w:b w:val="0"/>
                <w:bCs w:val="0"/>
                <w:spacing w:val="20"/>
                <w:kern w:val="2"/>
                <w:sz w:val="24"/>
                <w:szCs w:val="24"/>
                <w:lang w:val="en-US" w:eastAsia="zh-CN" w:bidi="ar-SA"/>
              </w:rPr>
              <w:t>套</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4764A616">
            <w:pPr>
              <w:ind w:left="19" w:leftChars="0" w:right="-2" w:hanging="19" w:hangingChars="7"/>
              <w:jc w:val="center"/>
              <w:rPr>
                <w:rFonts w:hint="default" w:ascii="Times New Roman" w:hAnsi="Times New Roman" w:eastAsia="宋体" w:cs="Times New Roman"/>
                <w:b w:val="0"/>
                <w:bCs w:val="0"/>
                <w:spacing w:val="20"/>
                <w:kern w:val="2"/>
                <w:sz w:val="24"/>
                <w:szCs w:val="24"/>
                <w:lang w:val="en-US" w:eastAsia="zh-CN" w:bidi="ar-SA"/>
              </w:rPr>
            </w:pPr>
            <w:r>
              <w:rPr>
                <w:rFonts w:hint="eastAsia" w:ascii="Times New Roman" w:hAnsi="Times New Roman" w:eastAsia="宋体" w:cs="Times New Roman"/>
                <w:b w:val="0"/>
                <w:bCs w:val="0"/>
                <w:spacing w:val="20"/>
                <w:kern w:val="2"/>
                <w:sz w:val="24"/>
                <w:szCs w:val="24"/>
                <w:lang w:val="en-US" w:eastAsia="zh-CN" w:bidi="ar-SA"/>
              </w:rPr>
              <w:t>1</w:t>
            </w:r>
          </w:p>
        </w:tc>
        <w:tc>
          <w:tcPr>
            <w:tcW w:w="2993" w:type="dxa"/>
            <w:gridSpan w:val="2"/>
            <w:tcBorders>
              <w:top w:val="single" w:color="auto" w:sz="4" w:space="0"/>
              <w:left w:val="single" w:color="auto" w:sz="4" w:space="0"/>
              <w:bottom w:val="single" w:color="auto" w:sz="4" w:space="0"/>
              <w:right w:val="single" w:color="auto" w:sz="4" w:space="0"/>
            </w:tcBorders>
            <w:noWrap w:val="0"/>
            <w:vAlign w:val="center"/>
          </w:tcPr>
          <w:p w14:paraId="7866070A">
            <w:pPr>
              <w:ind w:left="19" w:leftChars="0" w:right="-2" w:hanging="19" w:hangingChars="7"/>
              <w:jc w:val="left"/>
              <w:rPr>
                <w:rFonts w:hint="default" w:ascii="Times New Roman" w:hAnsi="Times New Roman" w:eastAsia="宋体" w:cs="Times New Roman"/>
                <w:b w:val="0"/>
                <w:bCs w:val="0"/>
                <w:spacing w:val="20"/>
                <w:kern w:val="2"/>
                <w:sz w:val="24"/>
                <w:szCs w:val="24"/>
                <w:lang w:val="en-US" w:eastAsia="zh-CN" w:bidi="ar-SA"/>
              </w:rPr>
            </w:pPr>
            <w:r>
              <w:rPr>
                <w:rFonts w:hint="eastAsia" w:ascii="Times New Roman" w:hAnsi="Times New Roman" w:eastAsia="宋体" w:cs="Times New Roman"/>
                <w:b w:val="0"/>
                <w:bCs w:val="0"/>
                <w:spacing w:val="20"/>
                <w:kern w:val="2"/>
                <w:sz w:val="24"/>
                <w:szCs w:val="24"/>
                <w:lang w:val="en-US" w:eastAsia="zh-CN" w:bidi="ar-SA"/>
              </w:rPr>
              <w:t>包含托辊装置、联轴器改造，剪刀改造相关配件等</w:t>
            </w:r>
          </w:p>
        </w:tc>
      </w:tr>
      <w:tr w14:paraId="12BF67AF">
        <w:tblPrEx>
          <w:tblCellMar>
            <w:top w:w="0" w:type="dxa"/>
            <w:left w:w="108" w:type="dxa"/>
            <w:bottom w:w="0" w:type="dxa"/>
            <w:right w:w="108" w:type="dxa"/>
          </w:tblCellMar>
        </w:tblPrEx>
        <w:trPr>
          <w:trHeight w:val="874" w:hRule="atLeast"/>
        </w:trPr>
        <w:tc>
          <w:tcPr>
            <w:tcW w:w="942" w:type="dxa"/>
            <w:tcBorders>
              <w:top w:val="single" w:color="auto" w:sz="4" w:space="0"/>
              <w:left w:val="single" w:color="auto" w:sz="4" w:space="0"/>
              <w:bottom w:val="single" w:color="auto" w:sz="4" w:space="0"/>
              <w:right w:val="single" w:color="auto" w:sz="4" w:space="0"/>
            </w:tcBorders>
            <w:noWrap w:val="0"/>
            <w:vAlign w:val="center"/>
          </w:tcPr>
          <w:p w14:paraId="35BE73AF">
            <w:pPr>
              <w:jc w:val="center"/>
              <w:rPr>
                <w:rFonts w:hint="default" w:cs="Times New Roman"/>
                <w:b w:val="0"/>
                <w:bCs w:val="0"/>
                <w:spacing w:val="20"/>
                <w:kern w:val="2"/>
                <w:sz w:val="24"/>
                <w:szCs w:val="24"/>
                <w:lang w:val="en-US" w:eastAsia="zh-CN" w:bidi="ar-SA"/>
              </w:rPr>
            </w:pPr>
            <w:r>
              <w:rPr>
                <w:rFonts w:hint="eastAsia" w:cs="Times New Roman"/>
                <w:b w:val="0"/>
                <w:bCs w:val="0"/>
                <w:spacing w:val="20"/>
                <w:kern w:val="2"/>
                <w:sz w:val="24"/>
                <w:szCs w:val="24"/>
                <w:lang w:val="en-US" w:eastAsia="zh-CN" w:bidi="ar-SA"/>
              </w:rPr>
              <w:t>2</w:t>
            </w:r>
          </w:p>
        </w:tc>
        <w:tc>
          <w:tcPr>
            <w:tcW w:w="5733" w:type="dxa"/>
            <w:gridSpan w:val="4"/>
            <w:tcBorders>
              <w:top w:val="single" w:color="auto" w:sz="4" w:space="0"/>
              <w:left w:val="single" w:color="auto" w:sz="4" w:space="0"/>
              <w:bottom w:val="single" w:color="auto" w:sz="4" w:space="0"/>
              <w:right w:val="single" w:color="auto" w:sz="4" w:space="0"/>
            </w:tcBorders>
            <w:noWrap w:val="0"/>
            <w:vAlign w:val="center"/>
          </w:tcPr>
          <w:p w14:paraId="33DB522E">
            <w:pPr>
              <w:ind w:left="16" w:leftChars="0" w:right="-2" w:hanging="16" w:hangingChars="7"/>
              <w:jc w:val="left"/>
              <w:rPr>
                <w:rFonts w:hint="eastAsia" w:ascii="Times New Roman" w:hAnsi="Times New Roman" w:eastAsia="宋体" w:cs="Times New Roman"/>
                <w:b w:val="0"/>
                <w:bCs w:val="0"/>
                <w:spacing w:val="20"/>
                <w:kern w:val="2"/>
                <w:sz w:val="24"/>
                <w:szCs w:val="24"/>
                <w:lang w:val="en-US" w:eastAsia="zh-CN" w:bidi="ar-SA"/>
              </w:rPr>
            </w:pPr>
            <w:r>
              <w:rPr>
                <w:rFonts w:hint="eastAsia" w:eastAsia="宋体" w:cs="Times New Roman"/>
                <w:iCs/>
                <w:color w:val="000000"/>
                <w:kern w:val="0"/>
                <w:sz w:val="24"/>
                <w:szCs w:val="24"/>
                <w:lang w:val="en-US" w:eastAsia="zh-CN"/>
              </w:rPr>
              <w:t>合计</w:t>
            </w:r>
          </w:p>
        </w:tc>
        <w:tc>
          <w:tcPr>
            <w:tcW w:w="2066" w:type="dxa"/>
            <w:tcBorders>
              <w:top w:val="single" w:color="auto" w:sz="4" w:space="0"/>
              <w:left w:val="single" w:color="auto" w:sz="4" w:space="0"/>
              <w:bottom w:val="single" w:color="auto" w:sz="4" w:space="0"/>
              <w:right w:val="single" w:color="auto" w:sz="4" w:space="0"/>
            </w:tcBorders>
            <w:noWrap w:val="0"/>
            <w:vAlign w:val="center"/>
          </w:tcPr>
          <w:p w14:paraId="47FF72F6">
            <w:pPr>
              <w:ind w:left="19" w:leftChars="0" w:right="-2" w:hanging="19" w:hangingChars="7"/>
              <w:jc w:val="left"/>
              <w:rPr>
                <w:rFonts w:hint="eastAsia" w:ascii="Times New Roman" w:hAnsi="Times New Roman" w:eastAsia="宋体" w:cs="Times New Roman"/>
                <w:b w:val="0"/>
                <w:bCs w:val="0"/>
                <w:spacing w:val="20"/>
                <w:kern w:val="2"/>
                <w:sz w:val="24"/>
                <w:szCs w:val="24"/>
                <w:lang w:val="en-US" w:eastAsia="zh-CN" w:bidi="ar-SA"/>
              </w:rPr>
            </w:pPr>
          </w:p>
        </w:tc>
      </w:tr>
    </w:tbl>
    <w:p w14:paraId="412AF97F">
      <w:pPr>
        <w:pStyle w:val="10"/>
        <w:keepNext w:val="0"/>
        <w:keepLines w:val="0"/>
        <w:pageBreakBefore w:val="0"/>
        <w:kinsoku/>
        <w:wordWrap/>
        <w:topLinePunct w:val="0"/>
        <w:autoSpaceDE/>
        <w:autoSpaceDN/>
        <w:bidi w:val="0"/>
        <w:adjustRightInd/>
        <w:spacing w:line="560" w:lineRule="exact"/>
        <w:textAlignment w:val="auto"/>
        <w:rPr>
          <w:rFonts w:hint="eastAsia" w:ascii="方正仿宋_GB2312" w:hAnsi="方正仿宋_GB2312" w:eastAsia="方正仿宋_GB2312" w:cs="方正仿宋_GB2312"/>
          <w:color w:val="000000"/>
          <w:kern w:val="2"/>
          <w:sz w:val="28"/>
          <w:szCs w:val="28"/>
          <w:lang w:val="en-US" w:eastAsia="zh-CN" w:bidi="ar-SA"/>
        </w:rPr>
      </w:pPr>
    </w:p>
    <w:p w14:paraId="689AF05E">
      <w:pPr>
        <w:overflowPunct w:val="0"/>
        <w:adjustRightInd w:val="0"/>
        <w:snapToGrid w:val="0"/>
        <w:spacing w:line="440" w:lineRule="exact"/>
        <w:ind w:right="210" w:rightChars="100"/>
        <w:jc w:val="both"/>
        <w:rPr>
          <w:rFonts w:hint="eastAsia" w:ascii="方正仿宋_GB2312" w:hAnsi="方正仿宋_GB2312" w:eastAsia="方正仿宋_GB2312" w:cs="方正仿宋_GB2312"/>
          <w:b/>
          <w:color w:val="auto"/>
          <w:sz w:val="28"/>
          <w:szCs w:val="28"/>
          <w:lang w:val="en-US" w:eastAsia="zh-CN"/>
        </w:rPr>
      </w:pPr>
      <w:r>
        <w:rPr>
          <w:rFonts w:hint="eastAsia" w:ascii="宋体" w:hAnsi="宋体" w:cs="宋体"/>
          <w:b/>
          <w:bCs/>
          <w:color w:val="000000"/>
          <w:sz w:val="28"/>
          <w:szCs w:val="28"/>
        </w:rPr>
        <w:t>三、</w:t>
      </w:r>
      <w:r>
        <w:rPr>
          <w:rFonts w:hint="eastAsia" w:ascii="方正仿宋_GB2312" w:hAnsi="方正仿宋_GB2312" w:eastAsia="方正仿宋_GB2312" w:cs="方正仿宋_GB2312"/>
          <w:b/>
          <w:color w:val="auto"/>
          <w:sz w:val="28"/>
          <w:szCs w:val="28"/>
          <w:lang w:val="en-US" w:eastAsia="zh-CN"/>
        </w:rPr>
        <w:t>改造要求</w:t>
      </w:r>
    </w:p>
    <w:p w14:paraId="585C78A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1 项目概述</w:t>
      </w:r>
    </w:p>
    <w:p w14:paraId="609A4EAE">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kern w:val="2"/>
          <w:sz w:val="28"/>
          <w:szCs w:val="28"/>
          <w:lang w:val="en-US" w:eastAsia="zh-CN" w:bidi="ar-SA"/>
        </w:rPr>
      </w:pPr>
      <w:r>
        <w:rPr>
          <w:rFonts w:hint="eastAsia" w:ascii="方正仿宋_GB2312" w:hAnsi="方正仿宋_GB2312" w:eastAsia="方正仿宋_GB2312" w:cs="方正仿宋_GB2312"/>
          <w:b w:val="0"/>
          <w:bCs/>
          <w:color w:val="auto"/>
          <w:kern w:val="2"/>
          <w:sz w:val="28"/>
          <w:szCs w:val="28"/>
          <w:lang w:val="en-US" w:eastAsia="zh-CN" w:bidi="ar-SA"/>
        </w:rPr>
        <w:t>拟在铸轧车间2#铸轧机出口段配置一台液压平动剪，用于铝合金板带的切断、样片剪切及工艺性分段处理。设备须在板带连续出板状态下完成同步剪切动作，保证剪切过程不影响正常出板与后续收卷。</w:t>
      </w:r>
    </w:p>
    <w:p w14:paraId="2C147D97">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结合现场设备布置、现有安装条件及后续基础测量需求，对设备总体方案、机械结构、液压控制、电气联锁、安装接口、基础复测要点及交付资料进行设计安装、调试。</w:t>
      </w:r>
    </w:p>
    <w:p w14:paraId="209D9B8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2 主要技术参数</w:t>
      </w:r>
    </w:p>
    <w:p w14:paraId="237B3C8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2.1 主要技术参数</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5"/>
        <w:gridCol w:w="2085"/>
        <w:gridCol w:w="2217"/>
        <w:gridCol w:w="2139"/>
      </w:tblGrid>
      <w:tr w14:paraId="3DA4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52DADEE2">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序号</w:t>
            </w:r>
          </w:p>
        </w:tc>
        <w:tc>
          <w:tcPr>
            <w:tcW w:w="2408" w:type="dxa"/>
            <w:shd w:val="clear" w:color="auto" w:fill="auto"/>
            <w:noWrap w:val="0"/>
            <w:tcMar>
              <w:top w:w="80" w:type="dxa"/>
              <w:left w:w="110" w:type="dxa"/>
              <w:bottom w:w="80" w:type="dxa"/>
              <w:right w:w="110" w:type="dxa"/>
            </w:tcMar>
            <w:vAlign w:val="center"/>
          </w:tcPr>
          <w:p w14:paraId="5A36768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项目</w:t>
            </w:r>
          </w:p>
        </w:tc>
        <w:tc>
          <w:tcPr>
            <w:tcW w:w="2408" w:type="dxa"/>
            <w:shd w:val="clear" w:color="auto" w:fill="auto"/>
            <w:noWrap w:val="0"/>
            <w:tcMar>
              <w:top w:w="80" w:type="dxa"/>
              <w:left w:w="110" w:type="dxa"/>
              <w:bottom w:w="80" w:type="dxa"/>
              <w:right w:w="110" w:type="dxa"/>
            </w:tcMar>
            <w:vAlign w:val="center"/>
          </w:tcPr>
          <w:p w14:paraId="50EA39E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技术要求</w:t>
            </w:r>
          </w:p>
        </w:tc>
        <w:tc>
          <w:tcPr>
            <w:tcW w:w="2408" w:type="dxa"/>
            <w:shd w:val="clear" w:color="auto" w:fill="auto"/>
            <w:noWrap w:val="0"/>
            <w:tcMar>
              <w:top w:w="80" w:type="dxa"/>
              <w:left w:w="110" w:type="dxa"/>
              <w:bottom w:w="80" w:type="dxa"/>
              <w:right w:w="110" w:type="dxa"/>
            </w:tcMar>
            <w:vAlign w:val="center"/>
          </w:tcPr>
          <w:p w14:paraId="71B4C91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方案响应</w:t>
            </w:r>
          </w:p>
        </w:tc>
      </w:tr>
      <w:tr w14:paraId="61AF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642B47B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1</w:t>
            </w:r>
          </w:p>
        </w:tc>
        <w:tc>
          <w:tcPr>
            <w:tcW w:w="2408" w:type="dxa"/>
            <w:shd w:val="clear" w:color="auto" w:fill="auto"/>
            <w:noWrap w:val="0"/>
            <w:tcMar>
              <w:top w:w="80" w:type="dxa"/>
              <w:left w:w="110" w:type="dxa"/>
              <w:bottom w:w="80" w:type="dxa"/>
              <w:right w:w="110" w:type="dxa"/>
            </w:tcMar>
            <w:vAlign w:val="center"/>
          </w:tcPr>
          <w:p w14:paraId="3747AFE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剪切材质</w:t>
            </w:r>
          </w:p>
        </w:tc>
        <w:tc>
          <w:tcPr>
            <w:tcW w:w="2408" w:type="dxa"/>
            <w:shd w:val="clear" w:color="auto" w:fill="auto"/>
            <w:noWrap w:val="0"/>
            <w:tcMar>
              <w:top w:w="80" w:type="dxa"/>
              <w:left w:w="110" w:type="dxa"/>
              <w:bottom w:w="80" w:type="dxa"/>
              <w:right w:w="110" w:type="dxa"/>
            </w:tcMar>
            <w:vAlign w:val="center"/>
          </w:tcPr>
          <w:p w14:paraId="67D03CA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铝合金板带</w:t>
            </w:r>
          </w:p>
        </w:tc>
        <w:tc>
          <w:tcPr>
            <w:tcW w:w="2408" w:type="dxa"/>
            <w:shd w:val="clear" w:color="auto" w:fill="auto"/>
            <w:noWrap w:val="0"/>
            <w:tcMar>
              <w:top w:w="80" w:type="dxa"/>
              <w:left w:w="110" w:type="dxa"/>
              <w:bottom w:w="80" w:type="dxa"/>
              <w:right w:w="110" w:type="dxa"/>
            </w:tcMar>
            <w:vAlign w:val="center"/>
          </w:tcPr>
          <w:p w14:paraId="4FF18A3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按铝板带连续出板工况配置</w:t>
            </w:r>
          </w:p>
        </w:tc>
      </w:tr>
      <w:tr w14:paraId="1FCE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noWrap w:val="0"/>
            <w:tcMar>
              <w:top w:w="80" w:type="dxa"/>
              <w:left w:w="110" w:type="dxa"/>
              <w:bottom w:w="80" w:type="dxa"/>
              <w:right w:w="110" w:type="dxa"/>
            </w:tcMar>
            <w:vAlign w:val="center"/>
          </w:tcPr>
          <w:p w14:paraId="56BFBA4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2</w:t>
            </w:r>
          </w:p>
        </w:tc>
        <w:tc>
          <w:tcPr>
            <w:tcW w:w="2408" w:type="dxa"/>
            <w:noWrap w:val="0"/>
            <w:tcMar>
              <w:top w:w="80" w:type="dxa"/>
              <w:left w:w="110" w:type="dxa"/>
              <w:bottom w:w="80" w:type="dxa"/>
              <w:right w:w="110" w:type="dxa"/>
            </w:tcMar>
            <w:vAlign w:val="center"/>
          </w:tcPr>
          <w:p w14:paraId="7422DFF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剪切厚度</w:t>
            </w:r>
          </w:p>
        </w:tc>
        <w:tc>
          <w:tcPr>
            <w:tcW w:w="2408" w:type="dxa"/>
            <w:noWrap w:val="0"/>
            <w:tcMar>
              <w:top w:w="80" w:type="dxa"/>
              <w:left w:w="110" w:type="dxa"/>
              <w:bottom w:w="80" w:type="dxa"/>
              <w:right w:w="110" w:type="dxa"/>
            </w:tcMar>
            <w:vAlign w:val="center"/>
          </w:tcPr>
          <w:p w14:paraId="1FF4AF7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6～14 mm</w:t>
            </w:r>
          </w:p>
        </w:tc>
        <w:tc>
          <w:tcPr>
            <w:tcW w:w="2408" w:type="dxa"/>
            <w:noWrap w:val="0"/>
            <w:tcMar>
              <w:top w:w="80" w:type="dxa"/>
              <w:left w:w="110" w:type="dxa"/>
              <w:bottom w:w="80" w:type="dxa"/>
              <w:right w:w="110" w:type="dxa"/>
            </w:tcMar>
            <w:vAlign w:val="center"/>
          </w:tcPr>
          <w:p w14:paraId="7C1E3AD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主机刚性、刀片及油缸按最大厚度工况校核</w:t>
            </w:r>
          </w:p>
        </w:tc>
      </w:tr>
      <w:tr w14:paraId="251D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3812D34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3</w:t>
            </w:r>
          </w:p>
        </w:tc>
        <w:tc>
          <w:tcPr>
            <w:tcW w:w="2408" w:type="dxa"/>
            <w:shd w:val="clear" w:color="auto" w:fill="auto"/>
            <w:noWrap w:val="0"/>
            <w:tcMar>
              <w:top w:w="80" w:type="dxa"/>
              <w:left w:w="110" w:type="dxa"/>
              <w:bottom w:w="80" w:type="dxa"/>
              <w:right w:w="110" w:type="dxa"/>
            </w:tcMar>
            <w:vAlign w:val="center"/>
          </w:tcPr>
          <w:p w14:paraId="31136FF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剪切宽度</w:t>
            </w:r>
          </w:p>
        </w:tc>
        <w:tc>
          <w:tcPr>
            <w:tcW w:w="2408" w:type="dxa"/>
            <w:shd w:val="clear" w:color="auto" w:fill="auto"/>
            <w:noWrap w:val="0"/>
            <w:tcMar>
              <w:top w:w="80" w:type="dxa"/>
              <w:left w:w="110" w:type="dxa"/>
              <w:bottom w:w="80" w:type="dxa"/>
              <w:right w:w="110" w:type="dxa"/>
            </w:tcMar>
            <w:vAlign w:val="center"/>
          </w:tcPr>
          <w:p w14:paraId="002E1DE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Max1300 mm</w:t>
            </w:r>
          </w:p>
        </w:tc>
        <w:tc>
          <w:tcPr>
            <w:tcW w:w="2408" w:type="dxa"/>
            <w:shd w:val="clear" w:color="auto" w:fill="auto"/>
            <w:noWrap w:val="0"/>
            <w:tcMar>
              <w:top w:w="80" w:type="dxa"/>
              <w:left w:w="110" w:type="dxa"/>
              <w:bottom w:w="80" w:type="dxa"/>
              <w:right w:w="110" w:type="dxa"/>
            </w:tcMar>
            <w:vAlign w:val="center"/>
          </w:tcPr>
          <w:p w14:paraId="6599AE4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剪切净宽不小于1300 mm</w:t>
            </w:r>
          </w:p>
        </w:tc>
      </w:tr>
      <w:tr w14:paraId="63D0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7302D7E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w:t>
            </w:r>
          </w:p>
        </w:tc>
        <w:tc>
          <w:tcPr>
            <w:tcW w:w="2408" w:type="dxa"/>
            <w:shd w:val="clear" w:color="auto" w:fill="auto"/>
            <w:noWrap w:val="0"/>
            <w:tcMar>
              <w:top w:w="80" w:type="dxa"/>
              <w:left w:w="110" w:type="dxa"/>
              <w:bottom w:w="80" w:type="dxa"/>
              <w:right w:w="110" w:type="dxa"/>
            </w:tcMar>
            <w:vAlign w:val="center"/>
          </w:tcPr>
          <w:p w14:paraId="46704E0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剪切频率</w:t>
            </w:r>
          </w:p>
        </w:tc>
        <w:tc>
          <w:tcPr>
            <w:tcW w:w="2408" w:type="dxa"/>
            <w:shd w:val="clear" w:color="auto" w:fill="auto"/>
            <w:noWrap w:val="0"/>
            <w:tcMar>
              <w:top w:w="80" w:type="dxa"/>
              <w:left w:w="110" w:type="dxa"/>
              <w:bottom w:w="80" w:type="dxa"/>
              <w:right w:w="110" w:type="dxa"/>
            </w:tcMar>
            <w:vAlign w:val="center"/>
          </w:tcPr>
          <w:p w14:paraId="3745B33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7次/min</w:t>
            </w:r>
          </w:p>
        </w:tc>
        <w:tc>
          <w:tcPr>
            <w:tcW w:w="2408" w:type="dxa"/>
            <w:shd w:val="clear" w:color="auto" w:fill="auto"/>
            <w:noWrap w:val="0"/>
            <w:tcMar>
              <w:top w:w="80" w:type="dxa"/>
              <w:left w:w="110" w:type="dxa"/>
              <w:bottom w:w="80" w:type="dxa"/>
              <w:right w:w="110" w:type="dxa"/>
            </w:tcMar>
            <w:vAlign w:val="center"/>
          </w:tcPr>
          <w:p w14:paraId="6B574D25">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平动与剪切节拍满足要求</w:t>
            </w:r>
          </w:p>
        </w:tc>
      </w:tr>
      <w:tr w14:paraId="0DD3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68BF9FD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5</w:t>
            </w:r>
          </w:p>
        </w:tc>
        <w:tc>
          <w:tcPr>
            <w:tcW w:w="2408" w:type="dxa"/>
            <w:shd w:val="clear" w:color="auto" w:fill="auto"/>
            <w:noWrap w:val="0"/>
            <w:tcMar>
              <w:top w:w="80" w:type="dxa"/>
              <w:left w:w="110" w:type="dxa"/>
              <w:bottom w:w="80" w:type="dxa"/>
              <w:right w:w="110" w:type="dxa"/>
            </w:tcMar>
            <w:vAlign w:val="center"/>
          </w:tcPr>
          <w:p w14:paraId="6EDB756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剪切模式</w:t>
            </w:r>
          </w:p>
        </w:tc>
        <w:tc>
          <w:tcPr>
            <w:tcW w:w="2408" w:type="dxa"/>
            <w:shd w:val="clear" w:color="auto" w:fill="auto"/>
            <w:noWrap w:val="0"/>
            <w:tcMar>
              <w:top w:w="80" w:type="dxa"/>
              <w:left w:w="110" w:type="dxa"/>
              <w:bottom w:w="80" w:type="dxa"/>
              <w:right w:w="110" w:type="dxa"/>
            </w:tcMar>
            <w:vAlign w:val="center"/>
          </w:tcPr>
          <w:p w14:paraId="7C108A8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单剪/连续剪</w:t>
            </w:r>
          </w:p>
        </w:tc>
        <w:tc>
          <w:tcPr>
            <w:tcW w:w="2408" w:type="dxa"/>
            <w:shd w:val="clear" w:color="auto" w:fill="auto"/>
            <w:noWrap w:val="0"/>
            <w:tcMar>
              <w:top w:w="80" w:type="dxa"/>
              <w:left w:w="110" w:type="dxa"/>
              <w:bottom w:w="80" w:type="dxa"/>
              <w:right w:w="110" w:type="dxa"/>
            </w:tcMar>
            <w:vAlign w:val="center"/>
          </w:tcPr>
          <w:p w14:paraId="0F91F99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支持手动、单次、连续运行</w:t>
            </w:r>
          </w:p>
        </w:tc>
      </w:tr>
      <w:tr w14:paraId="679D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noWrap w:val="0"/>
            <w:tcMar>
              <w:top w:w="80" w:type="dxa"/>
              <w:left w:w="110" w:type="dxa"/>
              <w:bottom w:w="80" w:type="dxa"/>
              <w:right w:w="110" w:type="dxa"/>
            </w:tcMar>
            <w:vAlign w:val="center"/>
          </w:tcPr>
          <w:p w14:paraId="56B4A24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6</w:t>
            </w:r>
          </w:p>
        </w:tc>
        <w:tc>
          <w:tcPr>
            <w:tcW w:w="2408" w:type="dxa"/>
            <w:noWrap w:val="0"/>
            <w:tcMar>
              <w:top w:w="80" w:type="dxa"/>
              <w:left w:w="110" w:type="dxa"/>
              <w:bottom w:w="80" w:type="dxa"/>
              <w:right w:w="110" w:type="dxa"/>
            </w:tcMar>
            <w:vAlign w:val="center"/>
          </w:tcPr>
          <w:p w14:paraId="5E3BEFB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液压阀组</w:t>
            </w:r>
          </w:p>
        </w:tc>
        <w:tc>
          <w:tcPr>
            <w:tcW w:w="2408" w:type="dxa"/>
            <w:noWrap w:val="0"/>
            <w:tcMar>
              <w:top w:w="80" w:type="dxa"/>
              <w:left w:w="110" w:type="dxa"/>
              <w:bottom w:w="80" w:type="dxa"/>
              <w:right w:w="110" w:type="dxa"/>
            </w:tcMar>
            <w:vAlign w:val="center"/>
          </w:tcPr>
          <w:p w14:paraId="0A8F53C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剪床移动控制阀组、剪切控制阀组；速度可调；液压阀全部为北京华德；需配剪刀油管</w:t>
            </w:r>
          </w:p>
        </w:tc>
        <w:tc>
          <w:tcPr>
            <w:tcW w:w="2408" w:type="dxa"/>
            <w:noWrap w:val="0"/>
            <w:tcMar>
              <w:top w:w="80" w:type="dxa"/>
              <w:left w:w="110" w:type="dxa"/>
              <w:bottom w:w="80" w:type="dxa"/>
              <w:right w:w="110" w:type="dxa"/>
            </w:tcMar>
            <w:vAlign w:val="center"/>
          </w:tcPr>
          <w:p w14:paraId="6F87350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采用功能分组阀组方案并配套油管</w:t>
            </w:r>
          </w:p>
        </w:tc>
      </w:tr>
      <w:tr w14:paraId="2304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6FE5EEB5">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7</w:t>
            </w:r>
          </w:p>
        </w:tc>
        <w:tc>
          <w:tcPr>
            <w:tcW w:w="2408" w:type="dxa"/>
            <w:shd w:val="clear" w:color="auto" w:fill="auto"/>
            <w:noWrap w:val="0"/>
            <w:tcMar>
              <w:top w:w="80" w:type="dxa"/>
              <w:left w:w="110" w:type="dxa"/>
              <w:bottom w:w="80" w:type="dxa"/>
              <w:right w:w="110" w:type="dxa"/>
            </w:tcMar>
            <w:vAlign w:val="center"/>
          </w:tcPr>
          <w:p w14:paraId="43FB124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阀组安装尺寸</w:t>
            </w:r>
          </w:p>
        </w:tc>
        <w:tc>
          <w:tcPr>
            <w:tcW w:w="2408" w:type="dxa"/>
            <w:shd w:val="clear" w:color="auto" w:fill="auto"/>
            <w:noWrap w:val="0"/>
            <w:tcMar>
              <w:top w:w="80" w:type="dxa"/>
              <w:left w:w="110" w:type="dxa"/>
              <w:bottom w:w="80" w:type="dxa"/>
              <w:right w:w="110" w:type="dxa"/>
            </w:tcMar>
            <w:vAlign w:val="center"/>
          </w:tcPr>
          <w:p w14:paraId="7540CE2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长280 mm×宽180 mm（现有阀台基座）</w:t>
            </w:r>
          </w:p>
        </w:tc>
        <w:tc>
          <w:tcPr>
            <w:tcW w:w="2408" w:type="dxa"/>
            <w:shd w:val="clear" w:color="auto" w:fill="auto"/>
            <w:noWrap w:val="0"/>
            <w:tcMar>
              <w:top w:w="80" w:type="dxa"/>
              <w:left w:w="110" w:type="dxa"/>
              <w:bottom w:w="80" w:type="dxa"/>
              <w:right w:w="110" w:type="dxa"/>
            </w:tcMar>
            <w:vAlign w:val="center"/>
          </w:tcPr>
          <w:p w14:paraId="00433FA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按现有阀台基座接口设计并复核</w:t>
            </w:r>
          </w:p>
        </w:tc>
      </w:tr>
      <w:tr w14:paraId="7D0E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noWrap w:val="0"/>
            <w:tcMar>
              <w:top w:w="80" w:type="dxa"/>
              <w:left w:w="110" w:type="dxa"/>
              <w:bottom w:w="80" w:type="dxa"/>
              <w:right w:w="110" w:type="dxa"/>
            </w:tcMar>
            <w:vAlign w:val="center"/>
          </w:tcPr>
          <w:p w14:paraId="562CB82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8</w:t>
            </w:r>
          </w:p>
        </w:tc>
        <w:tc>
          <w:tcPr>
            <w:tcW w:w="2408" w:type="dxa"/>
            <w:noWrap w:val="0"/>
            <w:tcMar>
              <w:top w:w="80" w:type="dxa"/>
              <w:left w:w="110" w:type="dxa"/>
              <w:bottom w:w="80" w:type="dxa"/>
              <w:right w:w="110" w:type="dxa"/>
            </w:tcMar>
            <w:vAlign w:val="center"/>
          </w:tcPr>
          <w:p w14:paraId="7FD716A1">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剪床尺寸</w:t>
            </w:r>
          </w:p>
        </w:tc>
        <w:tc>
          <w:tcPr>
            <w:tcW w:w="2408" w:type="dxa"/>
            <w:noWrap w:val="0"/>
            <w:tcMar>
              <w:top w:w="80" w:type="dxa"/>
              <w:left w:w="110" w:type="dxa"/>
              <w:bottom w:w="80" w:type="dxa"/>
              <w:right w:w="110" w:type="dxa"/>
            </w:tcMar>
            <w:vAlign w:val="center"/>
          </w:tcPr>
          <w:p w14:paraId="2FF77DA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宽2100 mm×长1500 mm；下刀口离地高度870 mm</w:t>
            </w:r>
          </w:p>
        </w:tc>
        <w:tc>
          <w:tcPr>
            <w:tcW w:w="2408" w:type="dxa"/>
            <w:noWrap w:val="0"/>
            <w:tcMar>
              <w:top w:w="80" w:type="dxa"/>
              <w:left w:w="110" w:type="dxa"/>
              <w:bottom w:w="80" w:type="dxa"/>
              <w:right w:w="110" w:type="dxa"/>
            </w:tcMar>
            <w:vAlign w:val="center"/>
          </w:tcPr>
          <w:p w14:paraId="02F1518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作为布置控制值，最终以现场复测后确定</w:t>
            </w:r>
          </w:p>
        </w:tc>
      </w:tr>
      <w:tr w14:paraId="3ACA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5396FE3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9</w:t>
            </w:r>
          </w:p>
        </w:tc>
        <w:tc>
          <w:tcPr>
            <w:tcW w:w="2408" w:type="dxa"/>
            <w:shd w:val="clear" w:color="auto" w:fill="auto"/>
            <w:noWrap w:val="0"/>
            <w:tcMar>
              <w:top w:w="80" w:type="dxa"/>
              <w:left w:w="110" w:type="dxa"/>
              <w:bottom w:w="80" w:type="dxa"/>
              <w:right w:w="110" w:type="dxa"/>
            </w:tcMar>
            <w:vAlign w:val="center"/>
          </w:tcPr>
          <w:p w14:paraId="7F2C15C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资料要求</w:t>
            </w:r>
          </w:p>
        </w:tc>
        <w:tc>
          <w:tcPr>
            <w:tcW w:w="2408" w:type="dxa"/>
            <w:shd w:val="clear" w:color="auto" w:fill="auto"/>
            <w:noWrap w:val="0"/>
            <w:tcMar>
              <w:top w:w="80" w:type="dxa"/>
              <w:left w:w="110" w:type="dxa"/>
              <w:bottom w:w="80" w:type="dxa"/>
              <w:right w:w="110" w:type="dxa"/>
            </w:tcMar>
            <w:vAlign w:val="center"/>
          </w:tcPr>
          <w:p w14:paraId="505E40F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提供液压密封型号、液压控制图纸、电气控制图纸、安装总览图纸、易损件清单、各部件图纸</w:t>
            </w:r>
          </w:p>
        </w:tc>
        <w:tc>
          <w:tcPr>
            <w:tcW w:w="2408" w:type="dxa"/>
            <w:shd w:val="clear" w:color="auto" w:fill="auto"/>
            <w:noWrap w:val="0"/>
            <w:tcMar>
              <w:top w:w="80" w:type="dxa"/>
              <w:left w:w="110" w:type="dxa"/>
              <w:bottom w:w="80" w:type="dxa"/>
              <w:right w:w="110" w:type="dxa"/>
            </w:tcMar>
            <w:vAlign w:val="center"/>
          </w:tcPr>
          <w:p w14:paraId="793AE8D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纳入项目正式交付资料范围</w:t>
            </w:r>
          </w:p>
        </w:tc>
      </w:tr>
    </w:tbl>
    <w:p w14:paraId="6EE29BB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3 总体技术方案</w:t>
      </w:r>
    </w:p>
    <w:p w14:paraId="3653A6BB">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本项目采用液压平动剪专用结构路线，设备总体由基础底座、剪切本体、两侧支承架、上刀架系统、压料机构、平动驱动机构、剪切驱动机构、入口/出口托板衔接件、液压系统、电气控制系统及安全防护件组成。</w:t>
      </w:r>
    </w:p>
    <w:p w14:paraId="5969B073">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整机布置重点满足以下目标：一是满足板带持续出板状态下的同步剪切要求；二是满足最大1300 mm板宽、6～14 mm板厚工况下的刚性和稳定性要求；三是满足甲方现有现场基础、板带中心线及前后设备接口的安装条件；四是便于后续现场检修、刀片更换和液压电气维护。</w:t>
      </w:r>
    </w:p>
    <w:p w14:paraId="4057FB80">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设备采用“平动先行、压料到位、执行剪切、快速复位”的动作方式。剪切瞬间，平动机构驱动剪切装置与板带同向同速运行，实现不断带工况下的切样或切断；剪切完成后，平动机构快速回程，恢复待机位置。</w:t>
      </w:r>
    </w:p>
    <w:p w14:paraId="48EBD1D7">
      <w:pPr>
        <w:overflowPunct w:val="0"/>
        <w:adjustRightInd w:val="0"/>
        <w:snapToGrid w:val="0"/>
        <w:spacing w:line="440" w:lineRule="exact"/>
        <w:ind w:right="210" w:rightChars="100"/>
        <w:rPr>
          <w:rFonts w:hint="eastAsia" w:ascii="方正仿宋_GB2312" w:hAnsi="方正仿宋_GB2312" w:eastAsia="方正仿宋_GB2312" w:cs="方正仿宋_GB2312"/>
          <w:b/>
          <w:color w:val="auto"/>
          <w:sz w:val="28"/>
          <w:szCs w:val="28"/>
          <w:lang w:val="en-US" w:eastAsia="zh-CN"/>
        </w:rPr>
      </w:pPr>
    </w:p>
    <w:p w14:paraId="7BA97E78">
      <w:pP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drawing>
          <wp:inline distT="0" distB="0" distL="114300" distR="114300">
            <wp:extent cx="5272405" cy="4923155"/>
            <wp:effectExtent l="0" t="0" r="444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2405" cy="4923155"/>
                    </a:xfrm>
                    <a:prstGeom prst="rect">
                      <a:avLst/>
                    </a:prstGeom>
                    <a:noFill/>
                    <a:ln>
                      <a:noFill/>
                    </a:ln>
                  </pic:spPr>
                </pic:pic>
              </a:graphicData>
            </a:graphic>
          </wp:inline>
        </w:drawing>
      </w:r>
    </w:p>
    <w:p w14:paraId="76EDAEE4">
      <w:pPr>
        <w:spacing w:after="120" w:line="240" w:lineRule="auto"/>
        <w:jc w:val="center"/>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color w:val="555555"/>
          <w:sz w:val="20"/>
          <w:lang w:eastAsia="zh-CN"/>
        </w:rPr>
        <w:t>图3-1  液压平动剪总体布置示意</w:t>
      </w:r>
    </w:p>
    <w:p w14:paraId="1BDE177B">
      <w:pPr>
        <w:overflowPunct w:val="0"/>
        <w:adjustRightInd w:val="0"/>
        <w:snapToGrid w:val="0"/>
        <w:spacing w:line="440" w:lineRule="exact"/>
        <w:ind w:right="210" w:rightChars="100"/>
        <w:rPr>
          <w:rFonts w:hint="eastAsia" w:ascii="方正仿宋_GB2312" w:hAnsi="方正仿宋_GB2312" w:eastAsia="方正仿宋_GB2312" w:cs="方正仿宋_GB2312"/>
          <w:b/>
          <w:color w:val="auto"/>
          <w:sz w:val="28"/>
          <w:szCs w:val="28"/>
          <w:lang w:val="en-US" w:eastAsia="zh-CN"/>
        </w:rPr>
      </w:pPr>
    </w:p>
    <w:p w14:paraId="4F98892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kern w:val="2"/>
          <w:sz w:val="28"/>
          <w:szCs w:val="28"/>
          <w:lang w:val="en-US" w:eastAsia="zh-CN" w:bidi="ar-SA"/>
        </w:rPr>
      </w:pPr>
    </w:p>
    <w:p w14:paraId="51B2DD40">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从总体布置上看，中部为剪切箱体与下刀座区域，上部设置刀架与压料梁，两侧设置立式支承及动作执行单元，下部设置平动导向与平动缸，前后与导向托板、夹送段或卷取前导向段衔接。该布置形式结构紧凑、受力清晰、维护空间较好，适合铸轧机组出口段安装。</w:t>
      </w:r>
    </w:p>
    <w:p w14:paraId="2B19F64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 机械系统详细说明</w:t>
      </w:r>
    </w:p>
    <w:p w14:paraId="3A3EBBB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4.1 机架与基础底座</w:t>
      </w:r>
    </w:p>
    <w:p w14:paraId="58667623">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设备主机采用重载焊接机架，底部为整体基础底座或组合式底梁结构，上部安装剪切箱体。机架需具备足够的抗弯、抗扭能力，以适应最大厚度工况下的剪切反力及平动过程中的惯性载荷。</w:t>
      </w:r>
    </w:p>
    <w:p w14:paraId="2109070C">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基础底座与甲方现场基础之间采用地脚螺栓及垫铁找正方式安装。底座安装孔、底梁长度、地脚位置、二次灌浆范围和垫铁布置，必须在现场实测基础中心距、预留孔位置和标高数据确认后最终确定。</w:t>
      </w:r>
    </w:p>
    <w:p w14:paraId="50F51CF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4.2 上刀架与下刀座</w:t>
      </w:r>
    </w:p>
    <w:p w14:paraId="79A56E88">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下刀座作为设备剪切基准件，与主机机架刚性连接，负责承受剪切时的大部分反力。下刀口高度按甲方要求控制在870 mm左右，但最终制造标高需结合现场板带通过线复测结果确定。</w:t>
      </w:r>
    </w:p>
    <w:p w14:paraId="642A91D4">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上刀架为执行剪切的核心部件，与两侧剪切驱动件联接，并与平动承载结构形成整体运动单元。上、下刀片安装座应具备调节功能，以便在装配和后续维护中实现刀口直线度、平行度及剪切间隙的精确调整。</w:t>
      </w:r>
    </w:p>
    <w:p w14:paraId="4D8F570E">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刀片材质、热处理硬度、刃口形式及安装螺栓布置，应依据最大板厚、材料状态和毛刺控制要求进一步校核确定。</w:t>
      </w:r>
    </w:p>
    <w:p w14:paraId="3372F6B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4.3 平动机构</w:t>
      </w:r>
    </w:p>
    <w:p w14:paraId="62AB9568">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平动机构为液压平动剪区别于普通剪切设备的关键单元。其作用是在剪切阶段驱动剪切总成沿板带运行方向进行短行程同步运动，使刀架相对板带的切入过程更平稳，避免因相对速度过大而造成拉伤、挤压或带材运行受阻。</w:t>
      </w:r>
    </w:p>
    <w:p w14:paraId="3B7B0F54">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采用下部液压缸驱动的平动结构，配合导向滑轨、滚轮支承或导向滑块完成往复运动。平动机构应具备以下特性：启动平稳、速度可调、行程可控、回程迅速、端位缓冲可靠。</w:t>
      </w:r>
    </w:p>
    <w:p w14:paraId="4278AE4D">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在详细设计阶段，应重点校核平动总质量、平动行程、所需加速度、缸径与流量匹配、导向副承载能力及重复定位精度，确保设备在7次/min的节拍要求下长期稳定运行。</w:t>
      </w:r>
    </w:p>
    <w:p w14:paraId="28BC16B1">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4.4 剪切执行机构</w:t>
      </w:r>
    </w:p>
    <w:p w14:paraId="0E514CAD">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剪切机构由两侧立式液压缸或等效执行机构驱动，通过耳轴、连板或摆臂方式作用于上刀架，实现对板带的下剪动作。两侧同时受力可有效改善刀架横向受力状态，降低单边偏载引起的间隙变化和刀架扭斜。</w:t>
      </w:r>
    </w:p>
    <w:p w14:paraId="006D9FD8">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油缸的缸径、行程、安装距和铰点位置应综合考虑最大剪切力、动作速度、受力角度及安装空间。两侧动作需具备良好同步性，必要时在液压回路中采取同步控制措施或等效回路设计，以保证剪切断面质量与刀片寿命。</w:t>
      </w:r>
    </w:p>
    <w:p w14:paraId="1E5BD104">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4.5 压料机构</w:t>
      </w:r>
    </w:p>
    <w:p w14:paraId="3AB8A9EA">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压料机构用于在剪切前对板带进行稳定压紧，减少板带在刀片切入瞬间产生抬料、翘曲和窜动现象，提高切口质量并保护刀片。压料装置可采用独立压料头、压料梁或组合式弹性压紧结构。</w:t>
      </w:r>
    </w:p>
    <w:p w14:paraId="5A7E7530">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压料动作应先于剪切动作执行，压料到位后才允许剪切回路动作；压料力应结合板厚、板形及允许压痕情况进行调整。</w:t>
      </w:r>
    </w:p>
    <w:p w14:paraId="5EACC171">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4.6 导向、托板与衔接件</w:t>
      </w:r>
    </w:p>
    <w:p w14:paraId="2ECDB1FE">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液压平动剪前后应设置必要的导向、托板及衔接件，以实现板带平稳进入剪切区并顺利导出。托板长度、倾角、边缘过渡及与前后设备的搭接关系，均应按照现场工艺线高和带材运行路径实测后确定。</w:t>
      </w:r>
    </w:p>
    <w:p w14:paraId="2E350328">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如果甲方现场已有夹送装置、导向辊或托板，则本设备只保留必要的衔接过渡结构；如现场原有衔接件不能满足新的剪刀接口要求，则应在详细设计阶段同步调整。</w:t>
      </w:r>
    </w:p>
    <w:p w14:paraId="4381FD1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5 工作原理</w:t>
      </w:r>
    </w:p>
    <w:p w14:paraId="2CEDC7E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5.1 工作原理</w:t>
      </w:r>
    </w:p>
    <w:p w14:paraId="50679670">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带材由铸轧机导出后，经入口托板或导向件进入剪切工作区。系统接收到切样或剪切指令后，先使平动机构进入动作准备状态；平动缸推动剪切总成沿带材运行方向同步加速；压料机构压紧板带；剪切油缸驱动上刀架完成剪切；剪切结束后，上刀架复位，压料松开，平动机构回原点，等待下一次动作。</w:t>
      </w:r>
    </w:p>
    <w:p w14:paraId="4697017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kern w:val="2"/>
          <w:sz w:val="28"/>
          <w:szCs w:val="28"/>
          <w:lang w:val="en-US" w:eastAsia="zh-CN" w:bidi="ar-SA"/>
        </w:rPr>
      </w:pPr>
      <w:r>
        <w:rPr>
          <w:rFonts w:hint="eastAsia" w:ascii="方正仿宋_GB2312" w:hAnsi="方正仿宋_GB2312" w:eastAsia="方正仿宋_GB2312" w:cs="方正仿宋_GB2312"/>
          <w:b w:val="0"/>
          <w:bCs/>
          <w:color w:val="auto"/>
          <w:kern w:val="2"/>
          <w:sz w:val="28"/>
          <w:szCs w:val="28"/>
          <w:lang w:val="en-US" w:eastAsia="zh-CN" w:bidi="ar-SA"/>
        </w:rPr>
        <w:t>6 电气控制与安全联锁</w:t>
      </w:r>
    </w:p>
    <w:p w14:paraId="4738884C">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电气系统负责设备手动、自动、单剪、连续剪及检修点动控制，并与前后工艺段建立运行允许和安全联锁关系。控制方案建议采用现场操作箱+电控柜方式，预留与上位系统连接的信号接口。</w:t>
      </w:r>
    </w:p>
    <w:p w14:paraId="7C72135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6.1 基本控制功能</w:t>
      </w:r>
    </w:p>
    <w:p w14:paraId="69F391D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手动/自动切换；</w:t>
      </w:r>
    </w:p>
    <w:p w14:paraId="2C66FA5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单剪、连续剪、检修点动；</w:t>
      </w:r>
    </w:p>
    <w:p w14:paraId="5BF59FF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平动原点、剪切上位、压料到位等位置检测；</w:t>
      </w:r>
    </w:p>
    <w:p w14:paraId="68B8BE0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系统压力异常、动作超时、限位异常报警；</w:t>
      </w:r>
    </w:p>
    <w:p w14:paraId="6D2CC2F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与前后设备的运行允许、停机、急停联锁。</w:t>
      </w:r>
    </w:p>
    <w:p w14:paraId="16E5D52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6.2 安全联锁要求</w:t>
      </w:r>
    </w:p>
    <w:p w14:paraId="57323EE1">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未建立平动原点，禁止自动剪切；</w:t>
      </w:r>
    </w:p>
    <w:p w14:paraId="6585549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压料未到位，禁止剪切动作；</w:t>
      </w:r>
    </w:p>
    <w:p w14:paraId="07A470E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平动未进入允许区间，禁止剪切油缸下行；</w:t>
      </w:r>
    </w:p>
    <w:p w14:paraId="413A59D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防护打开或急停触发时，所有动作立即停止并保持安全状态；</w:t>
      </w:r>
    </w:p>
    <w:p w14:paraId="42B9F9BF">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关键位置反馈丢失或动作超时，系统报警并退出自动循环；</w:t>
      </w:r>
    </w:p>
    <w:p w14:paraId="6F8FD50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 液压压力低于设定值或异常波动时，禁止进入自动剪切程序。</w:t>
      </w:r>
    </w:p>
    <w:p w14:paraId="7F470C3C">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7现场必须测量的关键数据</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9"/>
        <w:gridCol w:w="2120"/>
        <w:gridCol w:w="2167"/>
        <w:gridCol w:w="2120"/>
      </w:tblGrid>
      <w:tr w14:paraId="2E0A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3DE4EBE1">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序号</w:t>
            </w:r>
          </w:p>
        </w:tc>
        <w:tc>
          <w:tcPr>
            <w:tcW w:w="2408" w:type="dxa"/>
            <w:shd w:val="clear" w:color="auto" w:fill="auto"/>
            <w:noWrap w:val="0"/>
            <w:tcMar>
              <w:top w:w="80" w:type="dxa"/>
              <w:left w:w="110" w:type="dxa"/>
              <w:bottom w:w="80" w:type="dxa"/>
              <w:right w:w="110" w:type="dxa"/>
            </w:tcMar>
            <w:vAlign w:val="center"/>
          </w:tcPr>
          <w:p w14:paraId="42FDBE39">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测量项目</w:t>
            </w:r>
          </w:p>
        </w:tc>
        <w:tc>
          <w:tcPr>
            <w:tcW w:w="2408" w:type="dxa"/>
            <w:shd w:val="clear" w:color="auto" w:fill="auto"/>
            <w:noWrap w:val="0"/>
            <w:tcMar>
              <w:top w:w="80" w:type="dxa"/>
              <w:left w:w="110" w:type="dxa"/>
              <w:bottom w:w="80" w:type="dxa"/>
              <w:right w:w="110" w:type="dxa"/>
            </w:tcMar>
            <w:vAlign w:val="center"/>
          </w:tcPr>
          <w:p w14:paraId="2922F0DD">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测量内容</w:t>
            </w:r>
          </w:p>
        </w:tc>
        <w:tc>
          <w:tcPr>
            <w:tcW w:w="2408" w:type="dxa"/>
            <w:shd w:val="clear" w:color="auto" w:fill="auto"/>
            <w:noWrap w:val="0"/>
            <w:tcMar>
              <w:top w:w="80" w:type="dxa"/>
              <w:left w:w="110" w:type="dxa"/>
              <w:bottom w:w="80" w:type="dxa"/>
              <w:right w:w="110" w:type="dxa"/>
            </w:tcMar>
            <w:vAlign w:val="center"/>
          </w:tcPr>
          <w:p w14:paraId="155D7DCB">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用途</w:t>
            </w:r>
          </w:p>
        </w:tc>
      </w:tr>
      <w:tr w14:paraId="701B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7F8A515A">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1</w:t>
            </w:r>
          </w:p>
        </w:tc>
        <w:tc>
          <w:tcPr>
            <w:tcW w:w="2408" w:type="dxa"/>
            <w:shd w:val="clear" w:color="auto" w:fill="auto"/>
            <w:noWrap w:val="0"/>
            <w:tcMar>
              <w:top w:w="80" w:type="dxa"/>
              <w:left w:w="110" w:type="dxa"/>
              <w:bottom w:w="80" w:type="dxa"/>
              <w:right w:w="110" w:type="dxa"/>
            </w:tcMar>
            <w:vAlign w:val="center"/>
          </w:tcPr>
          <w:p w14:paraId="43418729">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设备基础尺寸</w:t>
            </w:r>
          </w:p>
        </w:tc>
        <w:tc>
          <w:tcPr>
            <w:tcW w:w="2408" w:type="dxa"/>
            <w:shd w:val="clear" w:color="auto" w:fill="auto"/>
            <w:noWrap w:val="0"/>
            <w:tcMar>
              <w:top w:w="80" w:type="dxa"/>
              <w:left w:w="110" w:type="dxa"/>
              <w:bottom w:w="80" w:type="dxa"/>
              <w:right w:w="110" w:type="dxa"/>
            </w:tcMar>
            <w:vAlign w:val="center"/>
          </w:tcPr>
          <w:p w14:paraId="6D8DCE1A">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基础长、宽、预埋板或基础台面实际尺寸</w:t>
            </w:r>
          </w:p>
        </w:tc>
        <w:tc>
          <w:tcPr>
            <w:tcW w:w="2408" w:type="dxa"/>
            <w:shd w:val="clear" w:color="auto" w:fill="auto"/>
            <w:noWrap w:val="0"/>
            <w:tcMar>
              <w:top w:w="80" w:type="dxa"/>
              <w:left w:w="110" w:type="dxa"/>
              <w:bottom w:w="80" w:type="dxa"/>
              <w:right w:w="110" w:type="dxa"/>
            </w:tcMar>
            <w:vAlign w:val="center"/>
          </w:tcPr>
          <w:p w14:paraId="2C572675">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确定底座外形与安装范围</w:t>
            </w:r>
          </w:p>
        </w:tc>
      </w:tr>
      <w:tr w14:paraId="5648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55E66A08">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2</w:t>
            </w:r>
          </w:p>
        </w:tc>
        <w:tc>
          <w:tcPr>
            <w:tcW w:w="2408" w:type="dxa"/>
            <w:shd w:val="clear" w:color="auto" w:fill="auto"/>
            <w:noWrap w:val="0"/>
            <w:tcMar>
              <w:top w:w="80" w:type="dxa"/>
              <w:left w:w="110" w:type="dxa"/>
              <w:bottom w:w="80" w:type="dxa"/>
              <w:right w:w="110" w:type="dxa"/>
            </w:tcMar>
            <w:vAlign w:val="center"/>
          </w:tcPr>
          <w:p w14:paraId="1F165B4B">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基础孔位</w:t>
            </w:r>
          </w:p>
        </w:tc>
        <w:tc>
          <w:tcPr>
            <w:tcW w:w="2408" w:type="dxa"/>
            <w:shd w:val="clear" w:color="auto" w:fill="auto"/>
            <w:noWrap w:val="0"/>
            <w:tcMar>
              <w:top w:w="80" w:type="dxa"/>
              <w:left w:w="110" w:type="dxa"/>
              <w:bottom w:w="80" w:type="dxa"/>
              <w:right w:w="110" w:type="dxa"/>
            </w:tcMar>
            <w:vAlign w:val="center"/>
          </w:tcPr>
          <w:p w14:paraId="61F7BD36">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现有地脚孔中心距、孔径、孔深、位置偏差</w:t>
            </w:r>
          </w:p>
        </w:tc>
        <w:tc>
          <w:tcPr>
            <w:tcW w:w="2408" w:type="dxa"/>
            <w:shd w:val="clear" w:color="auto" w:fill="auto"/>
            <w:noWrap w:val="0"/>
            <w:tcMar>
              <w:top w:w="80" w:type="dxa"/>
              <w:left w:w="110" w:type="dxa"/>
              <w:bottom w:w="80" w:type="dxa"/>
              <w:right w:w="110" w:type="dxa"/>
            </w:tcMar>
            <w:vAlign w:val="center"/>
          </w:tcPr>
          <w:p w14:paraId="67DDD9CC">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确定安装孔或过渡板方案</w:t>
            </w:r>
          </w:p>
        </w:tc>
      </w:tr>
      <w:tr w14:paraId="1808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03E91AF9">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3</w:t>
            </w:r>
          </w:p>
        </w:tc>
        <w:tc>
          <w:tcPr>
            <w:tcW w:w="2408" w:type="dxa"/>
            <w:shd w:val="clear" w:color="auto" w:fill="auto"/>
            <w:noWrap w:val="0"/>
            <w:tcMar>
              <w:top w:w="80" w:type="dxa"/>
              <w:left w:w="110" w:type="dxa"/>
              <w:bottom w:w="80" w:type="dxa"/>
              <w:right w:w="110" w:type="dxa"/>
            </w:tcMar>
            <w:vAlign w:val="center"/>
          </w:tcPr>
          <w:p w14:paraId="10B23B56">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标高数据</w:t>
            </w:r>
          </w:p>
        </w:tc>
        <w:tc>
          <w:tcPr>
            <w:tcW w:w="2408" w:type="dxa"/>
            <w:shd w:val="clear" w:color="auto" w:fill="auto"/>
            <w:noWrap w:val="0"/>
            <w:tcMar>
              <w:top w:w="80" w:type="dxa"/>
              <w:left w:w="110" w:type="dxa"/>
              <w:bottom w:w="80" w:type="dxa"/>
              <w:right w:w="110" w:type="dxa"/>
            </w:tcMar>
            <w:vAlign w:val="center"/>
          </w:tcPr>
          <w:p w14:paraId="56D6F8CE">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现场基础标高、板带中心线标高、下刀口目标标高</w:t>
            </w:r>
          </w:p>
        </w:tc>
        <w:tc>
          <w:tcPr>
            <w:tcW w:w="2408" w:type="dxa"/>
            <w:shd w:val="clear" w:color="auto" w:fill="auto"/>
            <w:noWrap w:val="0"/>
            <w:tcMar>
              <w:top w:w="80" w:type="dxa"/>
              <w:left w:w="110" w:type="dxa"/>
              <w:bottom w:w="80" w:type="dxa"/>
              <w:right w:w="110" w:type="dxa"/>
            </w:tcMar>
            <w:vAlign w:val="center"/>
          </w:tcPr>
          <w:p w14:paraId="592B3E72">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确定整机安装高度</w:t>
            </w:r>
          </w:p>
        </w:tc>
      </w:tr>
      <w:tr w14:paraId="072C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noWrap w:val="0"/>
            <w:tcMar>
              <w:top w:w="80" w:type="dxa"/>
              <w:left w:w="110" w:type="dxa"/>
              <w:bottom w:w="80" w:type="dxa"/>
              <w:right w:w="110" w:type="dxa"/>
            </w:tcMar>
            <w:vAlign w:val="center"/>
          </w:tcPr>
          <w:p w14:paraId="4B99FAE9">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4</w:t>
            </w:r>
          </w:p>
        </w:tc>
        <w:tc>
          <w:tcPr>
            <w:tcW w:w="2408" w:type="dxa"/>
            <w:noWrap w:val="0"/>
            <w:tcMar>
              <w:top w:w="80" w:type="dxa"/>
              <w:left w:w="110" w:type="dxa"/>
              <w:bottom w:w="80" w:type="dxa"/>
              <w:right w:w="110" w:type="dxa"/>
            </w:tcMar>
            <w:vAlign w:val="center"/>
          </w:tcPr>
          <w:p w14:paraId="4C0B4E1F">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中心线位置</w:t>
            </w:r>
          </w:p>
        </w:tc>
        <w:tc>
          <w:tcPr>
            <w:tcW w:w="2408" w:type="dxa"/>
            <w:noWrap w:val="0"/>
            <w:tcMar>
              <w:top w:w="80" w:type="dxa"/>
              <w:left w:w="110" w:type="dxa"/>
              <w:bottom w:w="80" w:type="dxa"/>
              <w:right w:w="110" w:type="dxa"/>
            </w:tcMar>
            <w:vAlign w:val="center"/>
          </w:tcPr>
          <w:p w14:paraId="1FB9BEB7">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板带运行中心线、前后设备中心关系</w:t>
            </w:r>
          </w:p>
        </w:tc>
        <w:tc>
          <w:tcPr>
            <w:tcW w:w="2408" w:type="dxa"/>
            <w:noWrap w:val="0"/>
            <w:tcMar>
              <w:top w:w="80" w:type="dxa"/>
              <w:left w:w="110" w:type="dxa"/>
              <w:bottom w:w="80" w:type="dxa"/>
              <w:right w:w="110" w:type="dxa"/>
            </w:tcMar>
            <w:vAlign w:val="center"/>
          </w:tcPr>
          <w:p w14:paraId="743376D9">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确定设备纵横向定位</w:t>
            </w:r>
          </w:p>
        </w:tc>
      </w:tr>
      <w:tr w14:paraId="0649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66A4991F">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5</w:t>
            </w:r>
          </w:p>
        </w:tc>
        <w:tc>
          <w:tcPr>
            <w:tcW w:w="2408" w:type="dxa"/>
            <w:shd w:val="clear" w:color="auto" w:fill="auto"/>
            <w:noWrap w:val="0"/>
            <w:tcMar>
              <w:top w:w="80" w:type="dxa"/>
              <w:left w:w="110" w:type="dxa"/>
              <w:bottom w:w="80" w:type="dxa"/>
              <w:right w:w="110" w:type="dxa"/>
            </w:tcMar>
            <w:vAlign w:val="center"/>
          </w:tcPr>
          <w:p w14:paraId="37CEC45E">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前后接口尺寸</w:t>
            </w:r>
          </w:p>
        </w:tc>
        <w:tc>
          <w:tcPr>
            <w:tcW w:w="2408" w:type="dxa"/>
            <w:shd w:val="clear" w:color="auto" w:fill="auto"/>
            <w:noWrap w:val="0"/>
            <w:tcMar>
              <w:top w:w="80" w:type="dxa"/>
              <w:left w:w="110" w:type="dxa"/>
              <w:bottom w:w="80" w:type="dxa"/>
              <w:right w:w="110" w:type="dxa"/>
            </w:tcMar>
            <w:vAlign w:val="center"/>
          </w:tcPr>
          <w:p w14:paraId="3EFE58E0">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与入口托板、导向辊、夹送段、卷取前设备的距离及高差</w:t>
            </w:r>
          </w:p>
        </w:tc>
        <w:tc>
          <w:tcPr>
            <w:tcW w:w="2408" w:type="dxa"/>
            <w:shd w:val="clear" w:color="auto" w:fill="auto"/>
            <w:noWrap w:val="0"/>
            <w:tcMar>
              <w:top w:w="80" w:type="dxa"/>
              <w:left w:w="110" w:type="dxa"/>
              <w:bottom w:w="80" w:type="dxa"/>
              <w:right w:w="110" w:type="dxa"/>
            </w:tcMar>
            <w:vAlign w:val="center"/>
          </w:tcPr>
          <w:p w14:paraId="6ABF616B">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确定衔接结构</w:t>
            </w:r>
          </w:p>
        </w:tc>
      </w:tr>
      <w:tr w14:paraId="7425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noWrap w:val="0"/>
            <w:tcMar>
              <w:top w:w="80" w:type="dxa"/>
              <w:left w:w="110" w:type="dxa"/>
              <w:bottom w:w="80" w:type="dxa"/>
              <w:right w:w="110" w:type="dxa"/>
            </w:tcMar>
            <w:vAlign w:val="center"/>
          </w:tcPr>
          <w:p w14:paraId="1D178ADD">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6</w:t>
            </w:r>
          </w:p>
        </w:tc>
        <w:tc>
          <w:tcPr>
            <w:tcW w:w="2408" w:type="dxa"/>
            <w:noWrap w:val="0"/>
            <w:tcMar>
              <w:top w:w="80" w:type="dxa"/>
              <w:left w:w="110" w:type="dxa"/>
              <w:bottom w:w="80" w:type="dxa"/>
              <w:right w:w="110" w:type="dxa"/>
            </w:tcMar>
            <w:vAlign w:val="center"/>
          </w:tcPr>
          <w:p w14:paraId="7489B630">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阀台接口</w:t>
            </w:r>
          </w:p>
        </w:tc>
        <w:tc>
          <w:tcPr>
            <w:tcW w:w="2408" w:type="dxa"/>
            <w:noWrap w:val="0"/>
            <w:tcMar>
              <w:top w:w="80" w:type="dxa"/>
              <w:left w:w="110" w:type="dxa"/>
              <w:bottom w:w="80" w:type="dxa"/>
              <w:right w:w="110" w:type="dxa"/>
            </w:tcMar>
            <w:vAlign w:val="center"/>
          </w:tcPr>
          <w:p w14:paraId="52755E63">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现有阀台基座尺寸、安装面、周边空间</w:t>
            </w:r>
          </w:p>
        </w:tc>
        <w:tc>
          <w:tcPr>
            <w:tcW w:w="2408" w:type="dxa"/>
            <w:noWrap w:val="0"/>
            <w:tcMar>
              <w:top w:w="80" w:type="dxa"/>
              <w:left w:w="110" w:type="dxa"/>
              <w:bottom w:w="80" w:type="dxa"/>
              <w:right w:w="110" w:type="dxa"/>
            </w:tcMar>
            <w:vAlign w:val="center"/>
          </w:tcPr>
          <w:p w14:paraId="2974BCD5">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确定阀组安装方式</w:t>
            </w:r>
          </w:p>
        </w:tc>
      </w:tr>
      <w:tr w14:paraId="441B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shd w:val="clear" w:color="auto" w:fill="auto"/>
            <w:noWrap w:val="0"/>
            <w:tcMar>
              <w:top w:w="80" w:type="dxa"/>
              <w:left w:w="110" w:type="dxa"/>
              <w:bottom w:w="80" w:type="dxa"/>
              <w:right w:w="110" w:type="dxa"/>
            </w:tcMar>
            <w:vAlign w:val="center"/>
          </w:tcPr>
          <w:p w14:paraId="607BE833">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7</w:t>
            </w:r>
          </w:p>
        </w:tc>
        <w:tc>
          <w:tcPr>
            <w:tcW w:w="2408" w:type="dxa"/>
            <w:shd w:val="clear" w:color="auto" w:fill="auto"/>
            <w:noWrap w:val="0"/>
            <w:tcMar>
              <w:top w:w="80" w:type="dxa"/>
              <w:left w:w="110" w:type="dxa"/>
              <w:bottom w:w="80" w:type="dxa"/>
              <w:right w:w="110" w:type="dxa"/>
            </w:tcMar>
            <w:vAlign w:val="center"/>
          </w:tcPr>
          <w:p w14:paraId="13C57BB7">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空间边界</w:t>
            </w:r>
          </w:p>
        </w:tc>
        <w:tc>
          <w:tcPr>
            <w:tcW w:w="2408" w:type="dxa"/>
            <w:shd w:val="clear" w:color="auto" w:fill="auto"/>
            <w:noWrap w:val="0"/>
            <w:tcMar>
              <w:top w:w="80" w:type="dxa"/>
              <w:left w:w="110" w:type="dxa"/>
              <w:bottom w:w="80" w:type="dxa"/>
              <w:right w:w="110" w:type="dxa"/>
            </w:tcMar>
            <w:vAlign w:val="center"/>
          </w:tcPr>
          <w:p w14:paraId="1BB310FA">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周边立柱、平台、护栏、检修通道、管线位置</w:t>
            </w:r>
          </w:p>
        </w:tc>
        <w:tc>
          <w:tcPr>
            <w:tcW w:w="2408" w:type="dxa"/>
            <w:shd w:val="clear" w:color="auto" w:fill="auto"/>
            <w:noWrap w:val="0"/>
            <w:tcMar>
              <w:top w:w="80" w:type="dxa"/>
              <w:left w:w="110" w:type="dxa"/>
              <w:bottom w:w="80" w:type="dxa"/>
              <w:right w:w="110" w:type="dxa"/>
            </w:tcMar>
            <w:vAlign w:val="center"/>
          </w:tcPr>
          <w:p w14:paraId="242CC768">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避免干涉并预留维护空间</w:t>
            </w:r>
          </w:p>
        </w:tc>
      </w:tr>
      <w:tr w14:paraId="5F9E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noWrap w:val="0"/>
            <w:tcMar>
              <w:top w:w="80" w:type="dxa"/>
              <w:left w:w="110" w:type="dxa"/>
              <w:bottom w:w="80" w:type="dxa"/>
              <w:right w:w="110" w:type="dxa"/>
            </w:tcMar>
            <w:vAlign w:val="center"/>
          </w:tcPr>
          <w:p w14:paraId="2F01D109">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8</w:t>
            </w:r>
          </w:p>
        </w:tc>
        <w:tc>
          <w:tcPr>
            <w:tcW w:w="2408" w:type="dxa"/>
            <w:noWrap w:val="0"/>
            <w:tcMar>
              <w:top w:w="80" w:type="dxa"/>
              <w:left w:w="110" w:type="dxa"/>
              <w:bottom w:w="80" w:type="dxa"/>
              <w:right w:w="110" w:type="dxa"/>
            </w:tcMar>
            <w:vAlign w:val="center"/>
          </w:tcPr>
          <w:p w14:paraId="135D3CD2">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油管电缆路由</w:t>
            </w:r>
          </w:p>
        </w:tc>
        <w:tc>
          <w:tcPr>
            <w:tcW w:w="2408" w:type="dxa"/>
            <w:noWrap w:val="0"/>
            <w:tcMar>
              <w:top w:w="80" w:type="dxa"/>
              <w:left w:w="110" w:type="dxa"/>
              <w:bottom w:w="80" w:type="dxa"/>
              <w:right w:w="110" w:type="dxa"/>
            </w:tcMar>
            <w:vAlign w:val="center"/>
          </w:tcPr>
          <w:p w14:paraId="4283F90E">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液压站方向、电控柜方向、桥架和管路走向</w:t>
            </w:r>
          </w:p>
        </w:tc>
        <w:tc>
          <w:tcPr>
            <w:tcW w:w="2408" w:type="dxa"/>
            <w:noWrap w:val="0"/>
            <w:tcMar>
              <w:top w:w="80" w:type="dxa"/>
              <w:left w:w="110" w:type="dxa"/>
              <w:bottom w:w="80" w:type="dxa"/>
              <w:right w:w="110" w:type="dxa"/>
            </w:tcMar>
            <w:vAlign w:val="center"/>
          </w:tcPr>
          <w:p w14:paraId="7051CAD6">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确定配管配线方案</w:t>
            </w:r>
          </w:p>
        </w:tc>
      </w:tr>
    </w:tbl>
    <w:p w14:paraId="1D1A9FC7">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8 测量后需确认的设计成果</w:t>
      </w:r>
    </w:p>
    <w:p w14:paraId="2F660823">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 液压平动剪正式总装图；</w:t>
      </w:r>
    </w:p>
    <w:p w14:paraId="3D1FC57E">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 基础安装图及地脚布置图；</w:t>
      </w:r>
    </w:p>
    <w:p w14:paraId="6923BA8B">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 入口/出口托板及导向衔接图；</w:t>
      </w:r>
    </w:p>
    <w:p w14:paraId="1F88E1B7">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 阀组安装图与油管接口图；</w:t>
      </w:r>
    </w:p>
    <w:p w14:paraId="715669B7">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 现场安装定位基准与找正要求。</w:t>
      </w:r>
    </w:p>
    <w:p w14:paraId="379169BF">
      <w:pPr>
        <w:overflowPunct w:val="0"/>
        <w:adjustRightInd w:val="0"/>
        <w:snapToGrid w:val="0"/>
        <w:spacing w:line="440" w:lineRule="exact"/>
        <w:ind w:right="210" w:rightChars="1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9 安装与调试要求</w:t>
      </w:r>
    </w:p>
    <w:p w14:paraId="7967AE9F">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设备安装前应确认现场基础强度、基础平面度和预留空间满足要求；安装时以板带中心线和下刀口标高为基准进行找正。设备就位后应依次完成机架水平度校正、刀口平行度调整、平动原点设定、压料动作校正、液压系统调压及空载试运行。</w:t>
      </w:r>
    </w:p>
    <w:p w14:paraId="49F57893">
      <w:pPr>
        <w:overflowPunct w:val="0"/>
        <w:adjustRightInd w:val="0"/>
        <w:snapToGrid w:val="0"/>
        <w:spacing w:line="440" w:lineRule="exact"/>
        <w:ind w:right="210" w:rightChars="100" w:firstLine="560" w:firstLineChars="200"/>
        <w:rPr>
          <w:rFonts w:hint="default"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lang w:val="en-US" w:eastAsia="zh-CN"/>
        </w:rPr>
        <w:t>调试阶段应重点检查平动速度、剪切同步性、刀口间隙、压料效果、回程冲击、两侧动作一致性及连续运行节拍。负载试运行前应先完成无料单循环验证，确认所有位置反馈、联锁逻辑和急停功能可靠。所有动作达到技术要求，同时作为验收条件，若达不到要求不进行验收。</w:t>
      </w:r>
    </w:p>
    <w:p w14:paraId="4EC4DEF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10 供货范围</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7"/>
        <w:gridCol w:w="2828"/>
        <w:gridCol w:w="2871"/>
      </w:tblGrid>
      <w:tr w14:paraId="78CD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6A46C13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序号</w:t>
            </w:r>
          </w:p>
        </w:tc>
        <w:tc>
          <w:tcPr>
            <w:tcW w:w="3211" w:type="dxa"/>
            <w:shd w:val="clear" w:color="auto" w:fill="auto"/>
            <w:noWrap w:val="0"/>
            <w:tcMar>
              <w:top w:w="80" w:type="dxa"/>
              <w:left w:w="110" w:type="dxa"/>
              <w:bottom w:w="80" w:type="dxa"/>
              <w:right w:w="110" w:type="dxa"/>
            </w:tcMar>
            <w:vAlign w:val="center"/>
          </w:tcPr>
          <w:p w14:paraId="779A0A1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供货项目</w:t>
            </w:r>
          </w:p>
        </w:tc>
        <w:tc>
          <w:tcPr>
            <w:tcW w:w="3211" w:type="dxa"/>
            <w:shd w:val="clear" w:color="auto" w:fill="auto"/>
            <w:noWrap w:val="0"/>
            <w:tcMar>
              <w:top w:w="80" w:type="dxa"/>
              <w:left w:w="110" w:type="dxa"/>
              <w:bottom w:w="80" w:type="dxa"/>
              <w:right w:w="110" w:type="dxa"/>
            </w:tcMar>
            <w:vAlign w:val="center"/>
          </w:tcPr>
          <w:p w14:paraId="6250043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说明</w:t>
            </w:r>
          </w:p>
        </w:tc>
      </w:tr>
      <w:tr w14:paraId="62F9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671BDD2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1</w:t>
            </w:r>
          </w:p>
        </w:tc>
        <w:tc>
          <w:tcPr>
            <w:tcW w:w="3211" w:type="dxa"/>
            <w:shd w:val="clear" w:color="auto" w:fill="auto"/>
            <w:noWrap w:val="0"/>
            <w:tcMar>
              <w:top w:w="80" w:type="dxa"/>
              <w:left w:w="110" w:type="dxa"/>
              <w:bottom w:w="80" w:type="dxa"/>
              <w:right w:w="110" w:type="dxa"/>
            </w:tcMar>
            <w:vAlign w:val="center"/>
          </w:tcPr>
          <w:p w14:paraId="0A510B32">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液压平动剪主机</w:t>
            </w:r>
          </w:p>
        </w:tc>
        <w:tc>
          <w:tcPr>
            <w:tcW w:w="3211" w:type="dxa"/>
            <w:shd w:val="clear" w:color="auto" w:fill="auto"/>
            <w:noWrap w:val="0"/>
            <w:tcMar>
              <w:top w:w="80" w:type="dxa"/>
              <w:left w:w="110" w:type="dxa"/>
              <w:bottom w:w="80" w:type="dxa"/>
              <w:right w:w="110" w:type="dxa"/>
            </w:tcMar>
            <w:vAlign w:val="center"/>
          </w:tcPr>
          <w:p w14:paraId="596B11BB">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含机架、底座、上刀架、下刀座、平动承载体及导向支承件</w:t>
            </w:r>
          </w:p>
        </w:tc>
      </w:tr>
      <w:tr w14:paraId="239D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70A92CE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2</w:t>
            </w:r>
          </w:p>
        </w:tc>
        <w:tc>
          <w:tcPr>
            <w:tcW w:w="3211" w:type="dxa"/>
            <w:shd w:val="clear" w:color="auto" w:fill="auto"/>
            <w:noWrap w:val="0"/>
            <w:tcMar>
              <w:top w:w="80" w:type="dxa"/>
              <w:left w:w="110" w:type="dxa"/>
              <w:bottom w:w="80" w:type="dxa"/>
              <w:right w:w="110" w:type="dxa"/>
            </w:tcMar>
            <w:vAlign w:val="center"/>
          </w:tcPr>
          <w:p w14:paraId="1D0D120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剪切执行机构</w:t>
            </w:r>
          </w:p>
        </w:tc>
        <w:tc>
          <w:tcPr>
            <w:tcW w:w="3211" w:type="dxa"/>
            <w:shd w:val="clear" w:color="auto" w:fill="auto"/>
            <w:noWrap w:val="0"/>
            <w:tcMar>
              <w:top w:w="80" w:type="dxa"/>
              <w:left w:w="110" w:type="dxa"/>
              <w:bottom w:w="80" w:type="dxa"/>
              <w:right w:w="110" w:type="dxa"/>
            </w:tcMar>
            <w:vAlign w:val="center"/>
          </w:tcPr>
          <w:p w14:paraId="650955D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含两侧剪切油缸、耳轴、连接件及安装支座</w:t>
            </w:r>
          </w:p>
        </w:tc>
      </w:tr>
      <w:tr w14:paraId="6D25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560DEE5C">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3</w:t>
            </w:r>
          </w:p>
        </w:tc>
        <w:tc>
          <w:tcPr>
            <w:tcW w:w="3211" w:type="dxa"/>
            <w:shd w:val="clear" w:color="auto" w:fill="auto"/>
            <w:noWrap w:val="0"/>
            <w:tcMar>
              <w:top w:w="80" w:type="dxa"/>
              <w:left w:w="110" w:type="dxa"/>
              <w:bottom w:w="80" w:type="dxa"/>
              <w:right w:w="110" w:type="dxa"/>
            </w:tcMar>
            <w:vAlign w:val="center"/>
          </w:tcPr>
          <w:p w14:paraId="1242273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平动执行机构</w:t>
            </w:r>
          </w:p>
        </w:tc>
        <w:tc>
          <w:tcPr>
            <w:tcW w:w="3211" w:type="dxa"/>
            <w:shd w:val="clear" w:color="auto" w:fill="auto"/>
            <w:noWrap w:val="0"/>
            <w:tcMar>
              <w:top w:w="80" w:type="dxa"/>
              <w:left w:w="110" w:type="dxa"/>
              <w:bottom w:w="80" w:type="dxa"/>
              <w:right w:w="110" w:type="dxa"/>
            </w:tcMar>
            <w:vAlign w:val="center"/>
          </w:tcPr>
          <w:p w14:paraId="5449BF15">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含平动缸、导向件、限位件、缓冲件</w:t>
            </w:r>
          </w:p>
        </w:tc>
      </w:tr>
      <w:tr w14:paraId="6673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205828C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4</w:t>
            </w:r>
          </w:p>
        </w:tc>
        <w:tc>
          <w:tcPr>
            <w:tcW w:w="3211" w:type="dxa"/>
            <w:shd w:val="clear" w:color="auto" w:fill="auto"/>
            <w:noWrap w:val="0"/>
            <w:tcMar>
              <w:top w:w="80" w:type="dxa"/>
              <w:left w:w="110" w:type="dxa"/>
              <w:bottom w:w="80" w:type="dxa"/>
              <w:right w:w="110" w:type="dxa"/>
            </w:tcMar>
            <w:vAlign w:val="center"/>
          </w:tcPr>
          <w:p w14:paraId="1C8CE4E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压料机构</w:t>
            </w:r>
          </w:p>
        </w:tc>
        <w:tc>
          <w:tcPr>
            <w:tcW w:w="3211" w:type="dxa"/>
            <w:shd w:val="clear" w:color="auto" w:fill="auto"/>
            <w:noWrap w:val="0"/>
            <w:tcMar>
              <w:top w:w="80" w:type="dxa"/>
              <w:left w:w="110" w:type="dxa"/>
              <w:bottom w:w="80" w:type="dxa"/>
              <w:right w:w="110" w:type="dxa"/>
            </w:tcMar>
            <w:vAlign w:val="center"/>
          </w:tcPr>
          <w:p w14:paraId="18C15C7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含压料装置、连接件及必要调节件</w:t>
            </w:r>
          </w:p>
        </w:tc>
      </w:tr>
      <w:tr w14:paraId="1D0B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0117DE7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5</w:t>
            </w:r>
          </w:p>
        </w:tc>
        <w:tc>
          <w:tcPr>
            <w:tcW w:w="3211" w:type="dxa"/>
            <w:shd w:val="clear" w:color="auto" w:fill="auto"/>
            <w:noWrap w:val="0"/>
            <w:tcMar>
              <w:top w:w="80" w:type="dxa"/>
              <w:left w:w="110" w:type="dxa"/>
              <w:bottom w:w="80" w:type="dxa"/>
              <w:right w:w="110" w:type="dxa"/>
            </w:tcMar>
            <w:vAlign w:val="center"/>
          </w:tcPr>
          <w:p w14:paraId="3B605AE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液压阀组</w:t>
            </w:r>
          </w:p>
        </w:tc>
        <w:tc>
          <w:tcPr>
            <w:tcW w:w="3211" w:type="dxa"/>
            <w:shd w:val="clear" w:color="auto" w:fill="auto"/>
            <w:noWrap w:val="0"/>
            <w:tcMar>
              <w:top w:w="80" w:type="dxa"/>
              <w:left w:w="110" w:type="dxa"/>
              <w:bottom w:w="80" w:type="dxa"/>
              <w:right w:w="110" w:type="dxa"/>
            </w:tcMar>
            <w:vAlign w:val="center"/>
          </w:tcPr>
          <w:p w14:paraId="21E5A555">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采用北京华德品牌或同等品牌，按现场阀台基座接口设计</w:t>
            </w:r>
          </w:p>
        </w:tc>
      </w:tr>
      <w:tr w14:paraId="642A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469E918A">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6</w:t>
            </w:r>
          </w:p>
        </w:tc>
        <w:tc>
          <w:tcPr>
            <w:tcW w:w="3211" w:type="dxa"/>
            <w:shd w:val="clear" w:color="auto" w:fill="auto"/>
            <w:noWrap w:val="0"/>
            <w:tcMar>
              <w:top w:w="80" w:type="dxa"/>
              <w:left w:w="110" w:type="dxa"/>
              <w:bottom w:w="80" w:type="dxa"/>
              <w:right w:w="110" w:type="dxa"/>
            </w:tcMar>
            <w:vAlign w:val="center"/>
          </w:tcPr>
          <w:p w14:paraId="69A69FF6">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液压油管与接头</w:t>
            </w:r>
          </w:p>
        </w:tc>
        <w:tc>
          <w:tcPr>
            <w:tcW w:w="3211" w:type="dxa"/>
            <w:shd w:val="clear" w:color="auto" w:fill="auto"/>
            <w:noWrap w:val="0"/>
            <w:tcMar>
              <w:top w:w="80" w:type="dxa"/>
              <w:left w:w="110" w:type="dxa"/>
              <w:bottom w:w="80" w:type="dxa"/>
              <w:right w:w="110" w:type="dxa"/>
            </w:tcMar>
            <w:vAlign w:val="center"/>
          </w:tcPr>
          <w:p w14:paraId="1231D968">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含主机相关油管、接头及安装支架</w:t>
            </w:r>
          </w:p>
        </w:tc>
      </w:tr>
      <w:tr w14:paraId="4193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559AC73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7</w:t>
            </w:r>
          </w:p>
        </w:tc>
        <w:tc>
          <w:tcPr>
            <w:tcW w:w="3211" w:type="dxa"/>
            <w:shd w:val="clear" w:color="auto" w:fill="auto"/>
            <w:noWrap w:val="0"/>
            <w:tcMar>
              <w:top w:w="80" w:type="dxa"/>
              <w:left w:w="110" w:type="dxa"/>
              <w:bottom w:w="80" w:type="dxa"/>
              <w:right w:w="110" w:type="dxa"/>
            </w:tcMar>
            <w:vAlign w:val="center"/>
          </w:tcPr>
          <w:p w14:paraId="7728BB4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电气控制元件</w:t>
            </w:r>
          </w:p>
        </w:tc>
        <w:tc>
          <w:tcPr>
            <w:tcW w:w="3211" w:type="dxa"/>
            <w:shd w:val="clear" w:color="auto" w:fill="auto"/>
            <w:noWrap w:val="0"/>
            <w:tcMar>
              <w:top w:w="80" w:type="dxa"/>
              <w:left w:w="110" w:type="dxa"/>
              <w:bottom w:w="80" w:type="dxa"/>
              <w:right w:w="110" w:type="dxa"/>
            </w:tcMar>
            <w:vAlign w:val="center"/>
          </w:tcPr>
          <w:p w14:paraId="1D4088D9">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含限位/接近开关、接线盒、现场操作元件及必要电缆</w:t>
            </w:r>
          </w:p>
        </w:tc>
      </w:tr>
      <w:tr w14:paraId="179D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399E31F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8</w:t>
            </w:r>
          </w:p>
        </w:tc>
        <w:tc>
          <w:tcPr>
            <w:tcW w:w="3211" w:type="dxa"/>
            <w:shd w:val="clear" w:color="auto" w:fill="auto"/>
            <w:noWrap w:val="0"/>
            <w:tcMar>
              <w:top w:w="80" w:type="dxa"/>
              <w:left w:w="110" w:type="dxa"/>
              <w:bottom w:w="80" w:type="dxa"/>
              <w:right w:w="110" w:type="dxa"/>
            </w:tcMar>
            <w:vAlign w:val="center"/>
          </w:tcPr>
          <w:p w14:paraId="43A3E46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安全防护件</w:t>
            </w:r>
          </w:p>
        </w:tc>
        <w:tc>
          <w:tcPr>
            <w:tcW w:w="3211" w:type="dxa"/>
            <w:shd w:val="clear" w:color="auto" w:fill="auto"/>
            <w:noWrap w:val="0"/>
            <w:tcMar>
              <w:top w:w="80" w:type="dxa"/>
              <w:left w:w="110" w:type="dxa"/>
              <w:bottom w:w="80" w:type="dxa"/>
              <w:right w:w="110" w:type="dxa"/>
            </w:tcMar>
            <w:vAlign w:val="center"/>
          </w:tcPr>
          <w:p w14:paraId="65E265B0">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含防护罩、警示标识及必要检修挡板</w:t>
            </w:r>
          </w:p>
        </w:tc>
      </w:tr>
      <w:tr w14:paraId="4916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1" w:type="dxa"/>
            <w:shd w:val="clear" w:color="auto" w:fill="auto"/>
            <w:noWrap w:val="0"/>
            <w:tcMar>
              <w:top w:w="80" w:type="dxa"/>
              <w:left w:w="110" w:type="dxa"/>
              <w:bottom w:w="80" w:type="dxa"/>
              <w:right w:w="110" w:type="dxa"/>
            </w:tcMar>
            <w:vAlign w:val="center"/>
          </w:tcPr>
          <w:p w14:paraId="0A26335D">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9</w:t>
            </w:r>
          </w:p>
        </w:tc>
        <w:tc>
          <w:tcPr>
            <w:tcW w:w="3211" w:type="dxa"/>
            <w:shd w:val="clear" w:color="auto" w:fill="auto"/>
            <w:noWrap w:val="0"/>
            <w:tcMar>
              <w:top w:w="80" w:type="dxa"/>
              <w:left w:w="110" w:type="dxa"/>
              <w:bottom w:w="80" w:type="dxa"/>
              <w:right w:w="110" w:type="dxa"/>
            </w:tcMar>
            <w:vAlign w:val="center"/>
          </w:tcPr>
          <w:p w14:paraId="10623BB7">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随机技术资料</w:t>
            </w:r>
          </w:p>
        </w:tc>
        <w:tc>
          <w:tcPr>
            <w:tcW w:w="3211" w:type="dxa"/>
            <w:shd w:val="clear" w:color="auto" w:fill="auto"/>
            <w:noWrap w:val="0"/>
            <w:tcMar>
              <w:top w:w="80" w:type="dxa"/>
              <w:left w:w="110" w:type="dxa"/>
              <w:bottom w:w="80" w:type="dxa"/>
              <w:right w:w="110" w:type="dxa"/>
            </w:tcMar>
            <w:vAlign w:val="center"/>
          </w:tcPr>
          <w:p w14:paraId="01FC5B53">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含液压图、电气图、安装总图、易损件清单、密封型号及部件图</w:t>
            </w:r>
          </w:p>
        </w:tc>
      </w:tr>
    </w:tbl>
    <w:p w14:paraId="70B21ECE">
      <w:pPr>
        <w:overflowPunct w:val="0"/>
        <w:adjustRightInd w:val="0"/>
        <w:snapToGrid w:val="0"/>
        <w:spacing w:line="440" w:lineRule="exact"/>
        <w:ind w:right="210" w:rightChars="1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11 交付资料</w:t>
      </w:r>
    </w:p>
    <w:p w14:paraId="7A1D7475">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按甲方技术要求，项目正式交付资料至少包括：液压密封型号清单、液压控制图纸、电气控制图纸、安装总览图纸、易损件清单及各部件图纸。</w:t>
      </w:r>
    </w:p>
    <w:p w14:paraId="71BF9667">
      <w:pPr>
        <w:overflowPunct w:val="0"/>
        <w:adjustRightInd w:val="0"/>
        <w:snapToGrid w:val="0"/>
        <w:spacing w:line="440" w:lineRule="exact"/>
        <w:ind w:right="210" w:rightChars="100" w:firstLine="560" w:firstLineChars="200"/>
        <w:rPr>
          <w:rFonts w:hint="eastAsia" w:ascii="方正仿宋_GB2312" w:hAnsi="方正仿宋_GB2312" w:eastAsia="方正仿宋_GB2312" w:cs="方正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在现场基础和接口测量完成后，我方将据此形成正式制造和安装资料，确保设备尺寸、接口及安装条件与甲方现场一致。</w:t>
      </w:r>
    </w:p>
    <w:p w14:paraId="40EC57E7">
      <w:pPr>
        <w:widowControl/>
        <w:overflowPunct w:val="0"/>
        <w:spacing w:line="480" w:lineRule="exact"/>
        <w:ind w:firstLine="560" w:firstLineChars="200"/>
        <w:jc w:val="left"/>
        <w:rPr>
          <w:rFonts w:hint="default" w:ascii="Times New Roman" w:hAnsi="Times New Roman" w:cs="Times New Roman"/>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建议后续详细设计阶段同步完成以下专项校核：最大剪切力计算、油缸选型及系统压力校核、平动质量与速度匹配、刀片材料及间隙方案、基础安装强度与地脚布置校核。</w:t>
      </w:r>
    </w:p>
    <w:p w14:paraId="6D5087EA">
      <w:pPr>
        <w:pStyle w:val="18"/>
        <w:numPr>
          <w:ilvl w:val="-1"/>
          <w:numId w:val="0"/>
        </w:numPr>
        <w:ind w:leftChars="0"/>
        <w:rPr>
          <w:b/>
          <w:sz w:val="32"/>
          <w:szCs w:val="32"/>
        </w:rPr>
      </w:pPr>
      <w:r>
        <w:br w:type="page"/>
      </w:r>
    </w:p>
    <w:p w14:paraId="1F3974B7">
      <w:pPr>
        <w:jc w:val="center"/>
        <w:rPr>
          <w:rFonts w:hint="default" w:ascii="Times New Roman" w:hAnsi="Times New Roman" w:eastAsia="黑体" w:cs="Times New Roman"/>
          <w:b/>
          <w:bCs/>
          <w:kern w:val="2"/>
          <w:sz w:val="44"/>
          <w:szCs w:val="44"/>
          <w:lang w:val="en-US" w:eastAsia="zh-CN" w:bidi="ar-SA"/>
        </w:rPr>
      </w:pPr>
      <w:r>
        <w:rPr>
          <w:rFonts w:hint="eastAsia" w:ascii="Times New Roman" w:hAnsi="Times New Roman" w:eastAsia="黑体" w:cs="Times New Roman"/>
          <w:b/>
          <w:bCs/>
          <w:kern w:val="2"/>
          <w:sz w:val="44"/>
          <w:szCs w:val="44"/>
          <w:lang w:val="en-US" w:eastAsia="zh-CN" w:bidi="ar-SA"/>
        </w:rPr>
        <w:t>中铝铝箔有限公司浩鑫厂铸轧班2号机剪刀改造项目</w:t>
      </w:r>
    </w:p>
    <w:p w14:paraId="628632E4">
      <w:pPr>
        <w:pStyle w:val="18"/>
        <w:ind w:left="2209" w:hanging="2209" w:hangingChars="500"/>
        <w:jc w:val="center"/>
        <w:rPr>
          <w:rFonts w:hint="eastAsia" w:ascii="Times New Roman" w:hAnsi="Times New Roman" w:eastAsia="黑体" w:cs="Times New Roman"/>
          <w:b/>
          <w:bCs/>
          <w:sz w:val="44"/>
          <w:szCs w:val="44"/>
          <w:lang w:val="en-US" w:eastAsia="zh-CN"/>
        </w:rPr>
      </w:pPr>
      <w:r>
        <w:rPr>
          <w:rFonts w:hint="eastAsia" w:ascii="Times New Roman" w:hAnsi="Times New Roman" w:eastAsia="黑体" w:cs="Times New Roman"/>
          <w:b/>
          <w:bCs/>
          <w:sz w:val="44"/>
          <w:szCs w:val="44"/>
          <w:lang w:val="en-US" w:eastAsia="zh-CN"/>
        </w:rPr>
        <w:t>合同</w:t>
      </w:r>
    </w:p>
    <w:p w14:paraId="5BCD2E4C">
      <w:pPr>
        <w:overflowPunct w:val="0"/>
        <w:spacing w:line="480" w:lineRule="exact"/>
        <w:ind w:firstLine="480" w:firstLineChars="200"/>
        <w:jc w:val="right"/>
        <w:rPr>
          <w:rFonts w:hint="default" w:ascii="Times New Roman" w:hAnsi="Times New Roman" w:eastAsia="宋体" w:cs="Times New Roman"/>
          <w:b/>
          <w:sz w:val="24"/>
          <w:szCs w:val="24"/>
          <w:u w:val="single"/>
        </w:rPr>
      </w:pPr>
      <w:r>
        <w:rPr>
          <w:rFonts w:hint="default" w:ascii="Times New Roman" w:hAnsi="Times New Roman" w:eastAsia="宋体" w:cs="Times New Roman"/>
          <w:bCs/>
          <w:sz w:val="24"/>
          <w:szCs w:val="24"/>
        </w:rPr>
        <w:t>合同编号：</w:t>
      </w:r>
      <w:sdt>
        <w:sdtPr>
          <w:rPr>
            <w:rFonts w:hint="default" w:ascii="Times New Roman" w:hAnsi="Times New Roman" w:eastAsia="宋体" w:cs="Times New Roman"/>
            <w:color w:val="000000"/>
            <w:sz w:val="24"/>
            <w:szCs w:val="36"/>
          </w:rPr>
          <w:id w:val="-1"/>
          <w:placeholder>
            <w:docPart w:val="{164f6c3d-028f-4420-bdba-aeef536fd83c}"/>
          </w:placeholder>
        </w:sdtPr>
        <w:sdtEndPr>
          <w:rPr>
            <w:rFonts w:hint="default" w:ascii="Times New Roman" w:hAnsi="Times New Roman" w:eastAsia="宋体" w:cs="Times New Roman"/>
            <w:color w:val="000000"/>
            <w:sz w:val="24"/>
            <w:szCs w:val="36"/>
          </w:rPr>
        </w:sdtEndPr>
        <w:sdtContent>
          <w:r>
            <w:rPr>
              <w:rFonts w:hint="default" w:ascii="Times New Roman" w:hAnsi="Times New Roman" w:eastAsia="宋体" w:cs="Times New Roman"/>
              <w:color w:val="000000"/>
              <w:sz w:val="24"/>
              <w:szCs w:val="36"/>
            </w:rPr>
            <w:t>【键入内容】</w:t>
          </w:r>
        </w:sdtContent>
      </w:sdt>
    </w:p>
    <w:p w14:paraId="13A3A104">
      <w:pPr>
        <w:overflowPunct w:val="0"/>
        <w:spacing w:line="460" w:lineRule="exact"/>
        <w:jc w:val="right"/>
        <w:rPr>
          <w:rFonts w:hint="default" w:ascii="Times New Roman" w:hAnsi="Times New Roman" w:eastAsia="宋体" w:cs="Times New Roman"/>
          <w:sz w:val="28"/>
        </w:rPr>
      </w:pPr>
    </w:p>
    <w:p w14:paraId="4E8061F8">
      <w:pPr>
        <w:tabs>
          <w:tab w:val="left" w:pos="5760"/>
        </w:tabs>
        <w:overflowPunct w:val="0"/>
        <w:spacing w:line="480" w:lineRule="exact"/>
        <w:ind w:firstLine="560" w:firstLineChars="200"/>
        <w:jc w:val="left"/>
        <w:rPr>
          <w:rFonts w:ascii="Times New Roman" w:hAnsi="Times New Roman" w:eastAsia="宋体" w:cs="Times New Roman"/>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本合同由双方于</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【键入签署日期】</w:t>
      </w:r>
      <w:r>
        <w:rPr>
          <w:rFonts w:ascii="Times New Roman" w:hAnsi="Times New Roman" w:eastAsia="宋体" w:cs="Times New Roman"/>
          <w:bCs/>
          <w:color w:val="000000" w:themeColor="text1"/>
          <w:sz w:val="28"/>
          <w:szCs w:val="28"/>
          <w:highlight w:val="none"/>
          <w:u w:val="single" w:color="FFFFFF" w:themeColor="background1"/>
          <w14:textFill>
            <w14:solidFill>
              <w14:schemeClr w14:val="tx1"/>
            </w14:solidFill>
          </w14:textFill>
        </w:rPr>
        <w:t>在</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【键入合同签订地】</w:t>
      </w:r>
      <w:r>
        <w:rPr>
          <w:rFonts w:ascii="Times New Roman" w:hAnsi="Times New Roman" w:eastAsia="宋体" w:cs="Times New Roman"/>
          <w:bCs/>
          <w:color w:val="000000" w:themeColor="text1"/>
          <w:sz w:val="28"/>
          <w:szCs w:val="28"/>
          <w:highlight w:val="none"/>
          <w:u w:val="single" w:color="FFFFFF" w:themeColor="background1"/>
          <w14:textFill>
            <w14:solidFill>
              <w14:schemeClr w14:val="tx1"/>
            </w14:solidFill>
          </w14:textFill>
        </w:rPr>
        <w:t>签署。甲 方：</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p>
    <w:p w14:paraId="5BCA044B">
      <w:pPr>
        <w:tabs>
          <w:tab w:val="left" w:pos="5760"/>
        </w:tabs>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住 所：</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p>
    <w:p w14:paraId="180EA5FF">
      <w:pPr>
        <w:tabs>
          <w:tab w:val="left" w:pos="5760"/>
        </w:tabs>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法定代表人：</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乙 方：</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p>
    <w:p w14:paraId="3558F73F">
      <w:pPr>
        <w:tabs>
          <w:tab w:val="left" w:pos="5760"/>
        </w:tabs>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住 所：</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p>
    <w:p w14:paraId="0C4420D1">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法定代表人：</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b/>
          <w:color w:val="000000" w:themeColor="text1"/>
          <w:sz w:val="28"/>
          <w:szCs w:val="28"/>
          <w:highlight w:val="none"/>
          <w:u w:val="single" w:color="FFFFFF" w:themeColor="background1"/>
          <w14:textFill>
            <w14:solidFill>
              <w14:schemeClr w14:val="tx1"/>
            </w14:solidFill>
          </w14:textFill>
        </w:rPr>
        <w:t xml:space="preserve"> </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根据《中华人民共和国民法典》等法律、法规的规定，甲方委托乙方对甲方的设备（以下简称</w:t>
      </w:r>
      <w:r>
        <w:rPr>
          <w:rFonts w:ascii="Times New Roman" w:hAnsi="Times New Roman" w:eastAsia="宋体" w:cs="Times New Roman"/>
          <w:color w:val="000000" w:themeColor="text1"/>
          <w:sz w:val="28"/>
          <w:szCs w:val="28"/>
          <w:highlight w:val="none"/>
          <w:u w:val="single" w:color="FFFFFF" w:themeColor="background1"/>
          <w:lang w:eastAsia="zh-Hans"/>
          <w14:textFill>
            <w14:solidFill>
              <w14:schemeClr w14:val="tx1"/>
            </w14:solidFill>
          </w14:textFill>
        </w:rPr>
        <w:t>“</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设备</w:t>
      </w:r>
      <w:r>
        <w:rPr>
          <w:rFonts w:ascii="Times New Roman" w:hAnsi="Times New Roman" w:eastAsia="宋体" w:cs="Times New Roman"/>
          <w:color w:val="000000" w:themeColor="text1"/>
          <w:sz w:val="28"/>
          <w:szCs w:val="28"/>
          <w:highlight w:val="none"/>
          <w:u w:val="single" w:color="FFFFFF" w:themeColor="background1"/>
          <w:lang w:eastAsia="zh-Hans"/>
          <w14:textFill>
            <w14:solidFill>
              <w14:schemeClr w14:val="tx1"/>
            </w14:solidFill>
          </w14:textFill>
        </w:rPr>
        <w:t>”</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）进行改造，乙方具备改造该设备的资质和能力并且同意接受该项委托，为明确甲乙双方权利义务，特签订本合同。</w:t>
      </w:r>
    </w:p>
    <w:p w14:paraId="5412B47D">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改造项目概况</w:t>
      </w:r>
    </w:p>
    <w:p w14:paraId="72A63C9F">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1.1项目名称：【键入内容】。</w:t>
      </w:r>
    </w:p>
    <w:p w14:paraId="786A21F3">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1.2项目内容：【键入内容】。</w:t>
      </w:r>
    </w:p>
    <w:p w14:paraId="7EC7FDFB">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1.3项目改造要求：</w:t>
      </w:r>
    </w:p>
    <w:p w14:paraId="11972135">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（1）乙方保证在改造项目中所更换、补充的零部件为全新产品，能满足国家或行业相关标准所规定的技术参数和指标，并与甲方原设备完全匹配；</w:t>
      </w:r>
    </w:p>
    <w:p w14:paraId="08BBB1D8">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（2）改造项目的具体质量要求【键入内容】，且设备改造后的技术参数不得低于改造前的相关参数。乙方提交适用的、完整的图纸、数据和其他技术资料；</w:t>
      </w:r>
    </w:p>
    <w:p w14:paraId="4E898980">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改造项目中所涉及的零部件更换、拆卸、运输、安装、调试等所有与改造项目有关的工作均应当由乙方完成；乙方单方确无法独立完成的，应当在本合同签订之时向甲方提出协助请求，甲方可根据实际情况为乙方提供协助与便利。</w:t>
      </w:r>
    </w:p>
    <w:p w14:paraId="720040BB">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改造方式</w:t>
      </w:r>
    </w:p>
    <w:p w14:paraId="0C2EE84B">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2.1改造地点：</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云南省昆明市呈贡区云南铝业股份有限公司内</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w:t>
      </w:r>
    </w:p>
    <w:p w14:paraId="7BA5D3FB">
      <w:pPr>
        <w:overflowPunct w:val="0"/>
        <w:spacing w:line="480" w:lineRule="exact"/>
        <w:ind w:firstLine="560" w:firstLineChars="200"/>
        <w:jc w:val="left"/>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2</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改造工期</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w:t>
      </w:r>
    </w:p>
    <w:p w14:paraId="3EBB3BAD">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2</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3</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包装要求及包装费用负担：</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设备由乙方按适合于本合同项下的正当交付的标准包装，包装标准：按国家相关标准执行；包装费用由乙方承担；包装物是否回收：乙方自行决定。</w:t>
      </w:r>
    </w:p>
    <w:p w14:paraId="0C77DB5B">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3</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配件到达现场后，乙方应当及时提请甲方进行验收。双方应当共同对配件的数量、型号规格等是否与合同约定相符等进行验收，并由双方签字确认。若乙方所供配件不符合约定，甲方有权拒收并要求乙方在【键入内容】日内予以更换。若乙方未能在【键入内容】日内更换符合约定的设备配件，视为乙方不能改造，甲方有权解除合同并要求乙方承担由此给甲方造成的一切损失。</w:t>
      </w:r>
    </w:p>
    <w:p w14:paraId="7BF6E229">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2.6乙方应当派出足够的、技术熟练且具有相应资质的技术人员负责设备改造、安装调试过程中的一切工作。</w:t>
      </w:r>
    </w:p>
    <w:p w14:paraId="1ACAAE71">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项目改造验收</w:t>
      </w:r>
    </w:p>
    <w:p w14:paraId="27826D69">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3.1乙方在设备改造调试后应当及时通知甲方进行验收。甲方应当在收到乙方改造调试验收申请后【键入内容】日内组织力量进行验收。</w:t>
      </w:r>
    </w:p>
    <w:p w14:paraId="30D98A7C">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3.2验收地点：【键入内容】。</w:t>
      </w:r>
    </w:p>
    <w:p w14:paraId="6885D628">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3.3验收标准：【键入内容】。</w:t>
      </w:r>
    </w:p>
    <w:p w14:paraId="0D601910">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3.4验收方式及异议：【键入内容】。</w:t>
      </w:r>
    </w:p>
    <w:p w14:paraId="7D020160">
      <w:pPr>
        <w:overflowPunct w:val="0"/>
        <w:spacing w:line="480" w:lineRule="exact"/>
        <w:ind w:firstLine="560" w:firstLineChars="200"/>
        <w:jc w:val="left"/>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3.5设备改造期间造成设备损坏的，由乙方承担全部赔偿责任。</w:t>
      </w:r>
    </w:p>
    <w:p w14:paraId="2F3A626A">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改造价款及支付</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w:t>
      </w:r>
    </w:p>
    <w:p w14:paraId="5245AEAE">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4.1</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改造项目</w:t>
      </w:r>
      <w:r>
        <w:rPr>
          <w:rFonts w:ascii="Times New Roman" w:hAnsi="Times New Roman" w:eastAsia="宋体" w:cs="Times New Roman"/>
          <w:color w:val="000000" w:themeColor="text1"/>
          <w:kern w:val="21"/>
          <w:sz w:val="28"/>
          <w:szCs w:val="28"/>
          <w:highlight w:val="none"/>
          <w:u w:val="single" w:color="FFFFFF" w:themeColor="background1"/>
          <w14:textFill>
            <w14:solidFill>
              <w14:schemeClr w14:val="tx1"/>
            </w14:solidFill>
          </w14:textFill>
        </w:rPr>
        <w:t>合同含增值税总价款为人民币（大写）【</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kern w:val="21"/>
          <w:sz w:val="28"/>
          <w:szCs w:val="28"/>
          <w:highlight w:val="none"/>
          <w:u w:val="single" w:color="FFFFFF" w:themeColor="background1"/>
          <w14:textFill>
            <w14:solidFill>
              <w14:schemeClr w14:val="tx1"/>
            </w14:solidFill>
          </w14:textFill>
        </w:rPr>
        <w:t>】元整（</w:t>
      </w:r>
      <w:r>
        <w:rPr>
          <w:rFonts w:ascii="Times New Roman" w:hAnsi="Times New Roman" w:eastAsia="宋体" w:cs="Times New Roman"/>
          <w:color w:val="000000" w:themeColor="text1"/>
          <w:kern w:val="0"/>
          <w:sz w:val="28"/>
          <w:szCs w:val="28"/>
          <w:highlight w:val="none"/>
          <w:u w:val="single" w:color="FFFFFF" w:themeColor="background1"/>
          <w14:textFill>
            <w14:solidFill>
              <w14:schemeClr w14:val="tx1"/>
            </w14:solidFill>
          </w14:textFill>
        </w:rPr>
        <w:t>¥【</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kern w:val="0"/>
          <w:sz w:val="28"/>
          <w:szCs w:val="28"/>
          <w:highlight w:val="none"/>
          <w:u w:val="single" w:color="FFFFFF" w:themeColor="background1"/>
          <w14:textFill>
            <w14:solidFill>
              <w14:schemeClr w14:val="tx1"/>
            </w14:solidFill>
          </w14:textFill>
        </w:rPr>
        <w:t>】元</w:t>
      </w:r>
      <w:r>
        <w:rPr>
          <w:rFonts w:ascii="Times New Roman" w:hAnsi="Times New Roman" w:eastAsia="宋体" w:cs="Times New Roman"/>
          <w:color w:val="000000" w:themeColor="text1"/>
          <w:kern w:val="21"/>
          <w:sz w:val="28"/>
          <w:szCs w:val="28"/>
          <w:highlight w:val="none"/>
          <w:u w:val="single" w:color="FFFFFF" w:themeColor="background1"/>
          <w14:textFill>
            <w14:solidFill>
              <w14:schemeClr w14:val="tx1"/>
            </w14:solidFill>
          </w14:textFill>
        </w:rPr>
        <w:t>）</w:t>
      </w:r>
      <w:r>
        <w:rPr>
          <w:rFonts w:ascii="Times New Roman" w:hAnsi="Times New Roman" w:eastAsia="宋体" w:cs="Times New Roman"/>
          <w:color w:val="000000" w:themeColor="text1"/>
          <w:kern w:val="0"/>
          <w:sz w:val="28"/>
          <w:szCs w:val="28"/>
          <w:highlight w:val="none"/>
          <w:u w:val="single" w:color="FFFFFF" w:themeColor="background1"/>
          <w14:textFill>
            <w14:solidFill>
              <w14:schemeClr w14:val="tx1"/>
            </w14:solidFill>
          </w14:textFill>
        </w:rPr>
        <w:t>，增值税税率【</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kern w:val="0"/>
          <w:sz w:val="28"/>
          <w:szCs w:val="28"/>
          <w:highlight w:val="none"/>
          <w:u w:val="single" w:color="FFFFFF" w:themeColor="background1"/>
          <w14:textFill>
            <w14:solidFill>
              <w14:schemeClr w14:val="tx1"/>
            </w14:solidFill>
          </w14:textFill>
        </w:rPr>
        <w:t>】%；不含增值税价款¥【</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kern w:val="0"/>
          <w:sz w:val="28"/>
          <w:szCs w:val="28"/>
          <w:highlight w:val="none"/>
          <w:u w:val="single" w:color="FFFFFF" w:themeColor="background1"/>
          <w14:textFill>
            <w14:solidFill>
              <w14:schemeClr w14:val="tx1"/>
            </w14:solidFill>
          </w14:textFill>
        </w:rPr>
        <w:t>】元（保留2位小数），税金为¥【</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kern w:val="0"/>
          <w:sz w:val="28"/>
          <w:szCs w:val="28"/>
          <w:highlight w:val="none"/>
          <w:u w:val="single" w:color="FFFFFF" w:themeColor="background1"/>
          <w14:textFill>
            <w14:solidFill>
              <w14:schemeClr w14:val="tx1"/>
            </w14:solidFill>
          </w14:textFill>
        </w:rPr>
        <w:t>】元（保留2位小数）。合同执行期间，不含增值税价为不变价，如遇法定增值税税率调整，以不含增值税价为基础调整含税总价款</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该总价款中已经包括但不限于：设计费、人工费、施工设备费、劳务费、管理费、材料费、运输费、安装费、调试费、质量保修、利润、安全、保险、税金、不可预见费及与本改造项目有关的一切费用和价款，在本合同履行期间乙方不得再以任何理由向甲方计取任何费用。</w:t>
      </w:r>
    </w:p>
    <w:p w14:paraId="4980DB6E">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2</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合同总价款的支付 </w:t>
      </w:r>
    </w:p>
    <w:p w14:paraId="481ABC84">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2</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.1无预付款。</w:t>
      </w:r>
    </w:p>
    <w:p w14:paraId="5C7E9816">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4.2.2</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 改造标的到达甲方场地并提供到货单据后30个工作日内，支付总金额的60%作为到货款；</w:t>
      </w:r>
    </w:p>
    <w:p w14:paraId="54BB3053">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1）装箱清单；</w:t>
      </w:r>
    </w:p>
    <w:p w14:paraId="659CF74E">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2）制造厂家出具的质量检验证书、合格证和数量证明书；</w:t>
      </w:r>
    </w:p>
    <w:p w14:paraId="741DC716">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3）应提供的对应技术资料包含但不限于操作使用说明书、维护保养手册等齐全。</w:t>
      </w:r>
    </w:p>
    <w:p w14:paraId="483DE346">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4.3改造标的在验收合格后30个工作日内，支付总金额的30%作为验收款。支付电汇或银行承兑汇票，银行承兑汇票甲方不贴息。</w:t>
      </w:r>
    </w:p>
    <w:p w14:paraId="2EEBF284">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4.4 留取改造费用总额的10%作为质量保证金（质保期限：验收合格之日起12个月），在保修期届满之日起15个工作日内， 在扣除保修期内的维修费后甲方一次性支付给乙方（不计利息）。</w:t>
      </w:r>
    </w:p>
    <w:p w14:paraId="72AB44B6">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4.5 乙方账户信息：【键入内容】；甲方账户信息：【键入内容】</w:t>
      </w:r>
    </w:p>
    <w:p w14:paraId="101BA35D">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w:t>
      </w:r>
      <w:r>
        <w:rPr>
          <w:rFonts w:hint="eastAsia" w:ascii="Times New Roman" w:hAnsi="Times New Roman" w:cs="Times New Roman"/>
          <w:color w:val="000000" w:themeColor="text1"/>
          <w:sz w:val="28"/>
          <w:szCs w:val="28"/>
          <w:highlight w:val="none"/>
          <w:u w:val="single" w:color="FFFFFF" w:themeColor="background1"/>
          <w:lang w:val="en-US" w:eastAsia="zh-CN"/>
          <w14:textFill>
            <w14:solidFill>
              <w14:schemeClr w14:val="tx1"/>
            </w14:solidFill>
          </w14:textFill>
        </w:rPr>
        <w:t>6</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 合同价款支付方式</w:t>
      </w:r>
    </w:p>
    <w:p w14:paraId="77AD0605">
      <w:pPr>
        <w:widowControl/>
        <w:kinsoku w:val="0"/>
        <w:overflowPunct w:val="0"/>
        <w:adjustRightInd w:val="0"/>
        <w:snapToGrid w:val="0"/>
        <w:spacing w:line="480" w:lineRule="exact"/>
        <w:ind w:firstLine="560" w:firstLineChars="200"/>
        <w:rPr>
          <w:rFonts w:ascii="Times New Roman" w:hAnsi="Times New Roman" w:eastAsia="宋体" w:cs="Times New Roman"/>
          <w:color w:val="000000" w:themeColor="text1"/>
          <w:sz w:val="24"/>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kern w:val="0"/>
          <w:sz w:val="28"/>
          <w:szCs w:val="28"/>
          <w:highlight w:val="none"/>
          <w:u w:val="single" w:color="FFFFFF" w:themeColor="background1"/>
          <w14:textFill>
            <w14:solidFill>
              <w14:schemeClr w14:val="tx1"/>
            </w14:solidFill>
          </w14:textFill>
        </w:rPr>
        <w:t>甲方支付乙方电汇或承兑汇票，在此之前乙方不得以贴息费用等为理由向甲方索取合同总额外的财务费用，也不应以收到非电汇类支付为理由延迟、推脱合同中描述的乙方应尽义务。</w:t>
      </w:r>
    </w:p>
    <w:p w14:paraId="0714CE53">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质量保证和培训</w:t>
      </w:r>
    </w:p>
    <w:p w14:paraId="4A012361">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改造后设备应当达到合同约定的改造要求。设备验收合格的，乙方自验收合格之日起对设备整体保修</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年。质保期内，乙方承诺当设备质量出现问题时，乙方工作人员在接到甲方通知后（包括但不限于电话、电子邮件、信函等方式）</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小时内赶到现场进行免费维修、调试。若乙方违反上述约定，甲方有权请第三方对设备进行维修，维修费用从质量保证金中扣除。乙方在改造调试过程中，应当按甲方要求，对甲方的相关人员进行培训，确保甲方使用人员能够熟练的进行操作及排除简单故障。</w:t>
      </w:r>
    </w:p>
    <w:p w14:paraId="1B7531AE">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双方权利、义务</w:t>
      </w:r>
    </w:p>
    <w:p w14:paraId="3972472E">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6.1甲方的权利、义务 </w:t>
      </w:r>
    </w:p>
    <w:p w14:paraId="236F3E56">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（1）甲方享有对改造项目进行验收的权利；</w:t>
      </w:r>
    </w:p>
    <w:p w14:paraId="60CA1DC9">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（2）在乙方完全按照本合同约定履行义务的前提下，甲方应当按照本合同约定支付合同价款； </w:t>
      </w:r>
    </w:p>
    <w:p w14:paraId="0884C848">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（3）如改造地点在甲方公司内，甲方应当根据设备改造的需要和乙方人员的要求，采取安全防范措施，并尽力配合乙方的改造工作； </w:t>
      </w:r>
    </w:p>
    <w:p w14:paraId="11191944">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（4）如改造地点在甲方公司内，甲方应当按照法律规定和双方约定提供安全、健康的工作环境；</w:t>
      </w:r>
    </w:p>
    <w:p w14:paraId="279502C2">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（5）根据现场实际需要，检查乙方人员工作情况。对乙方的资质、人员在岗及运行维护、必需工器具的配备及使用、各项管理制度及执行情况等进行抽查。</w:t>
      </w:r>
    </w:p>
    <w:p w14:paraId="48E94CC9">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6.2乙方的权利</w:t>
      </w:r>
      <w:r>
        <w:rPr>
          <w:rFonts w:hint="eastAsia" w:ascii="Times New Roman" w:hAnsi="Times New Roman" w:eastAsia="宋体" w:cs="Times New Roman"/>
          <w:color w:val="000000" w:themeColor="text1"/>
          <w:sz w:val="28"/>
          <w:szCs w:val="28"/>
          <w:highlight w:val="none"/>
          <w:u w:val="single" w:color="FFFFFF" w:themeColor="background1"/>
          <w:lang w:eastAsia="zh-CN"/>
          <w14:textFill>
            <w14:solidFill>
              <w14:schemeClr w14:val="tx1"/>
            </w14:solidFill>
          </w14:textFill>
        </w:rPr>
        <w:t>、</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义务 </w:t>
      </w:r>
    </w:p>
    <w:p w14:paraId="69C013FF">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（1）乙方应当按照本合同要求完全履行合同义务，保质保量完成本改造项目；</w:t>
      </w:r>
    </w:p>
    <w:p w14:paraId="15410529">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（2）在完全按照本合同约定履行义务的前提下，乙方有权收取合同价款； </w:t>
      </w:r>
    </w:p>
    <w:p w14:paraId="4B8DDD40">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（3）乙方须对甲方的设备予以爱护，做到仔细、认真、安全，在合同履行期间，乙方造成甲方或第三方损失的，应当负责全额赔偿；</w:t>
      </w:r>
    </w:p>
    <w:p w14:paraId="39938C1F">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（4）未经甲方书面同意，乙方不得将合同项下全部或部分内容转包或分包给第三人；</w:t>
      </w:r>
    </w:p>
    <w:p w14:paraId="70C36000">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（5）乙方人员素质配置及稳定性、设备及工器具配备符合《承包商安全管理标准化体系规范（试行）》（中国铝业集团有限公司企业标准CHINALCO -CS-01-2022）的要求。</w:t>
      </w:r>
    </w:p>
    <w:p w14:paraId="470E56D1">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安全要求</w:t>
      </w:r>
    </w:p>
    <w:p w14:paraId="5A8FD546">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7.1如改造地点在甲方公司内，则乙方应当遵守甲方的各种安全管理规定，乙方应当对其工作人员进行安全教育并要求其工作人员按照甲方安全规定，包括但不限于《承包商安全管理标准化体系规范（试行）》（中国铝业集团有限公司企业标准CHINALCO -CS-01-2022）执行。乙方人员在甲方单位提供的改造服务场所开展工作的期间，应当遵守甲方的出入检查制度、现场管理制度等规章制度。具体见附件所述。</w:t>
      </w:r>
    </w:p>
    <w:p w14:paraId="37751F81">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7.2乙方对合同项目的安全性负责，包括人员、设备、施工质量等，是合同项目的安全责任人。乙方对施工或作业期间的人员、设备等一切安全事故负责。</w:t>
      </w:r>
    </w:p>
    <w:p w14:paraId="28C7DB0E">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7.3因乙方人员造成甲方财产损失或和甲方人员及第三方人身损害的，由乙方承担一切赔偿责任，甲方有权解除本合同，并要求乙方赔偿全部损失。 </w:t>
      </w:r>
    </w:p>
    <w:p w14:paraId="785A3718">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7.4乙方对于改造所产生的垃圾、废品等材料，应当按照国家或当地政府的有关规定妥善处置，以免造成环境污染或其他损害，否则产生的责任由乙方承担。</w:t>
      </w:r>
    </w:p>
    <w:p w14:paraId="4F0674F5">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7.5合同履约期间，如果乙方拒不履行合同约定安全条款，或对甲方检查中发现安全违章行为拒不整改，甲方有权立即终止合同，乙方必须无条件执行本条款约定。同时，乙方承担本合同总价款10%的违约金，甲方有权先从乙方的任何工程款或货款或服务费中扣除，不足部分由乙方补足。</w:t>
      </w:r>
    </w:p>
    <w:p w14:paraId="7BBA6078">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7.6在本合同履行过程中，如果乙方发生安全生产工亡事故，甲方有权立即终止合同，乙方必须无条件执行本条款约定，同时乙方应向甲方支付【键入内容】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%合同价款或【键入内容】元人民币的违约金</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，如果前述违约金不足以支付给甲方造成的全部直接损失的，乙方还应就不足部分对甲方予以赔偿</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w:t>
      </w:r>
    </w:p>
    <w:p w14:paraId="75F8216F">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知识产权</w:t>
      </w:r>
    </w:p>
    <w:p w14:paraId="360E3346">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乙方保证，合同设备改造所使用的技术为其依法拥有的专利权或专有技术或其他知识产权的技术，或依法拥有使用权的技术。乙方同时保证，甲方运行合同设备不会遭受任何第三方提出的侵犯专利权、专有技术、商标权或其他知识产权的指控；如甲方因此遭受任何第三方提出的侵犯知识产权的指控，由乙方应诉并全额赔偿甲方的损失。</w:t>
      </w:r>
    </w:p>
    <w:p w14:paraId="3D3BBB7D">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违约责任</w:t>
      </w:r>
    </w:p>
    <w:p w14:paraId="03F302CD">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9</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.1乙方应当保证其所提供的设备完全满足本合同约定的技术标准和质量要求，否则，甲方有权拒收设备，由此引起的一切费用与损失以及设备的风险均由乙方承担，乙方还应向甲方支付合同总价款20%的违约金。</w:t>
      </w:r>
    </w:p>
    <w:p w14:paraId="6AC9DF2D">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9</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如果设备包装不当，甲方可以拒绝接收，乙方应承担由此给甲方造成的一切费用和损失；若包装瑕疵严重，导致设备毁损严重，甲方有权单方解除合同。如甲方解除合同，乙方应向甲方支付合同总价款20%作为违约金，如同时造成甲方其他损失，乙方仍应当赔偿。</w:t>
      </w:r>
    </w:p>
    <w:p w14:paraId="30734689">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9</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乙方应当保证按时交付设备，逾期交付的，每逾期一日，乙方应向甲方支付合同总价款万分之五的违约金，逾期超过三十日，甲方有权单方解除合同。如甲方解除合同的，乙方应支付甲方合同总价款20%的违约金，如同时造成甲方其他损失的，乙方仍应当赔偿。</w:t>
      </w:r>
    </w:p>
    <w:p w14:paraId="1FEDB061">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9</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.4乙方应当如约按时提供设备的相关单证与资料交付给甲方，若逾期未提供，甲方有权拒绝接收设备，同时对乙方的供货期限不予顺延，乙方应承担由此给甲方造成的一切费用和损失。</w:t>
      </w:r>
    </w:p>
    <w:p w14:paraId="62302BAC">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9</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5在设备出现故障时，乙方应当按合同约定及时派员处理，如乙方怠于处理，或者在约定期限内无法排除故障的，每迟延一天，按合同总价款的万分之五支付甲方违约金，如同时造成甲方其他损失的，乙方仍应当赔偿。</w:t>
      </w:r>
    </w:p>
    <w:p w14:paraId="6B4A3B5E">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9</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.6本合同所指的甲方损失，如无特殊约定，均包含甲方的实际损失、可得利益损失、甲方支付的评估鉴定费、甲方为解决争议或纠纷所支付的律师费等全部费用和损失。</w:t>
      </w:r>
    </w:p>
    <w:p w14:paraId="0E60C5E5">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9</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.7甲方违反合同规定拒绝接收合格设备的，应当支付乙方合同总价款20%的违约金，届时乙方有权解除合同。</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甲方要求工期提前的，应当书面通知乙方，征得乙方同意，并支付乙方因赶工而采取措施的合理费用。</w:t>
      </w:r>
    </w:p>
    <w:p w14:paraId="6A35C779">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合同的变更和解除</w:t>
      </w:r>
    </w:p>
    <w:p w14:paraId="50F684E6">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10.1本合同履行期间，发生特殊情况时，任何一方需变更本合同的，变更一方应当及时书面通知对方，征得对方同意后签订书面变更合同，该合同将成为本合同不可分割的部分。未经双方签署书面文件，任何一方无权变更本合同，否则，由此造成对方的经济损失，由责任方承担。</w:t>
      </w:r>
    </w:p>
    <w:p w14:paraId="7CFB4A43">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10.2有下列情形之一的，可解除合同：</w:t>
      </w:r>
    </w:p>
    <w:p w14:paraId="7691E1AA">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（1）双方协商一致解除本合同；</w:t>
      </w:r>
    </w:p>
    <w:p w14:paraId="0192F5D1">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（2）一方根据本合同约定单方解除本合同；</w:t>
      </w:r>
    </w:p>
    <w:p w14:paraId="2F65DB6B">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（3）一方未及时、全面、正确履行合同约定之义务的，经另一方书面催告后</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7</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日内仍不纠正或未能整改到位的，另一方有权单方解除合同；</w:t>
      </w:r>
    </w:p>
    <w:p w14:paraId="310355C9">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（4）因不可抗力致使本合同无法履行；</w:t>
      </w:r>
    </w:p>
    <w:p w14:paraId="426F108D">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5）乙方出现一般及以上设备设施事故、C类及以上质量事件、一般及以上突发环境事件、防疫不力事件的；存在拖欠农民工、员工工资行为的；提供虚假材料和信息，骗取承揽业务的；存在恶意诉讼等扰乱业务外包市场秩序行为的；存在群体事件等影响项目单位正常生产经营行为的；出现违反国家相关法律、法规、强制性标准及中铝集团内有关规章制度行为的，甲方有权立即解除合同；</w:t>
      </w:r>
    </w:p>
    <w:p w14:paraId="17D5ED2C">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（6）法律、法规规定及本合同约定的其他情形。</w:t>
      </w:r>
    </w:p>
    <w:p w14:paraId="4CAF6222">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10.3甲方要求解除合同的通知发出之日即发生法律效力。合同的解除并不解除合同规定的乙方应当承担的其他合同义务。合同解除后，不影响双方在合同中约定的结算、清理和保密条款的效力。</w:t>
      </w:r>
    </w:p>
    <w:p w14:paraId="0CC83B2D">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10.4合同解除的，尚未履行部分终止履行，已经履行部分，合同解除后乙方在</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1</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个月内将已收取的甲方的款项全额返还买受人。并由乙方承担由此给甲方造成的一切损失。</w:t>
      </w:r>
    </w:p>
    <w:p w14:paraId="7F9CF876">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保密</w:t>
      </w:r>
    </w:p>
    <w:p w14:paraId="58F99D30">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11.1本合同一方因本合同的洽谈、缔约以及履行过程中而获得或知悉的对方任何无法自公开渠道获得的资料和信息（包括商业秘密、计划、运营活动、财务信息、技术信息、经营信息及其他商业秘密）均视为保密内容，信息接收方应当承担保密义务。信息接收方未经信息披露方书面同意，不可将保密内容以任何方式透露给第三方或用于本合同以外其他事项，但法律、法规另有规定或双方另有约定除外。保密期限为</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年。</w:t>
      </w:r>
    </w:p>
    <w:p w14:paraId="2DEC2AB0">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11.2本条款不因合同的未生效、合同的无效或者部分无效、合同的终止或者部分终止而失去约束力。</w:t>
      </w:r>
    </w:p>
    <w:p w14:paraId="72FE8C5C">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不可抗力</w:t>
      </w:r>
    </w:p>
    <w:p w14:paraId="14F54DA5">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12.1发生不可抗力事件导致不能履行或者不能完全履行本合同的，根据不可抗力的影响，部分或者全部免除责任。遭遇不可抗力的一方必须及时通知另一方该事件的性质、发生日期、预计持续时间等相关细节，以及该事件阻碍通知方履行其于本合同项下义务的程度，以避免另一方扩大损失。如遭受不可抗力事件的一方怠于履行通知义务的，由此而导致的损失由该方承担。</w:t>
      </w:r>
    </w:p>
    <w:p w14:paraId="3987FFAC">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12.2不可抗力事件发生【键入数字】日内，具备条件的，双方应根据实际情况协商确定延期履行、部分履行或不履行本合同。</w:t>
      </w:r>
    </w:p>
    <w:p w14:paraId="592A9037">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通知</w:t>
      </w:r>
    </w:p>
    <w:p w14:paraId="4B56E02E">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13.1任何一方向其他方发出的全部通知、要求以及各方的文件往来和与本合同有关的通知和要求等，可采用当面送交、邮件、传真等书面方式发出。以上方式无法送达的，方可采取公告送达的方式。</w:t>
      </w:r>
    </w:p>
    <w:p w14:paraId="04157636">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13.2双方通知地址如下：</w:t>
      </w:r>
    </w:p>
    <w:p w14:paraId="0BE9EE1B">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甲方：【键入内容】</w:t>
      </w:r>
    </w:p>
    <w:p w14:paraId="4DF8FE52">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联系人：【键入内容】</w:t>
      </w:r>
    </w:p>
    <w:p w14:paraId="24B61C9F">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电话：【键入内容】</w:t>
      </w:r>
    </w:p>
    <w:p w14:paraId="1DEEEE66">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邮箱：【键入内容】</w:t>
      </w:r>
    </w:p>
    <w:p w14:paraId="5868B76D">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传真：【键入内容】</w:t>
      </w:r>
    </w:p>
    <w:p w14:paraId="719B2B99">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联系地址：【键入内容】乙方：【键入内容】</w:t>
      </w:r>
    </w:p>
    <w:p w14:paraId="38317F04">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联系人：【键入内容】</w:t>
      </w:r>
    </w:p>
    <w:p w14:paraId="5A9CF8A9">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电话：【键入内容】</w:t>
      </w:r>
    </w:p>
    <w:p w14:paraId="4D618168">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邮箱：【键入内容】</w:t>
      </w:r>
    </w:p>
    <w:p w14:paraId="5C0AB280">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传真：【键入内容】</w:t>
      </w:r>
    </w:p>
    <w:p w14:paraId="500DC422">
      <w:pPr>
        <w:overflowPunct w:val="0"/>
        <w:spacing w:line="480" w:lineRule="exact"/>
        <w:ind w:firstLine="560" w:firstLineChars="200"/>
        <w:jc w:val="left"/>
        <w:rPr>
          <w:rFonts w:ascii="宋体" w:hAnsi="宋体" w:eastAsia="宋体" w:cs="宋体"/>
          <w:color w:val="000000" w:themeColor="text1"/>
          <w:sz w:val="28"/>
          <w:szCs w:val="28"/>
          <w:highlight w:val="none"/>
          <w:u w:val="single" w:color="FFFFFF" w:themeColor="background1"/>
          <w14:textFill>
            <w14:solidFill>
              <w14:schemeClr w14:val="tx1"/>
            </w14:solidFill>
          </w14:textFill>
        </w:rPr>
      </w:pP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联系地址：【键入内容】</w:t>
      </w:r>
    </w:p>
    <w:p w14:paraId="181CD826">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13.3上述通知地址的适用范围包括各方发生纠纷进入诉讼、仲裁程序时法律文书及其他相关文件的送达。</w:t>
      </w:r>
    </w:p>
    <w:p w14:paraId="16D5F5EE">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13.4任何一方变更通知地址，应当自变更之日起3日内，以书面形式通知对方，否则，由未通知方承担由此而引起的相关责任。</w:t>
      </w:r>
    </w:p>
    <w:p w14:paraId="71C58942">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13.5因一方提供的通知地址不准确、通知地址变更后未依据程序及时告知对方、被送达方拒绝签收等原因导致通知、文书等无法实际接收的，邮寄送达的，以文书被退回之日视为送达之日；直接送达的，送达人当场在送达回执上记明情况之日为送达之日；电子邮件或传真方式送达的，以邮件、传真发出之日作为送达之日。</w:t>
      </w:r>
    </w:p>
    <w:p w14:paraId="572FF727">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13.6按照本条约定地址发出的文件，被送达方未反馈是否收悉且按照第13.5款的约定无法判断是否送达的，自文件发出之日第5日视为送达之日。</w:t>
      </w:r>
    </w:p>
    <w:p w14:paraId="0D1A2F45">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争议解决</w:t>
      </w:r>
    </w:p>
    <w:p w14:paraId="6A87AF76">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14.1凡因本合同引起的或与本合同有关的任何争议，由甲乙双方协商解决。协商不成的，应当按照以下第</w:t>
      </w: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1</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种方式解决：</w:t>
      </w:r>
    </w:p>
    <w:p w14:paraId="15BC138C">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（1）任何一方可依法向</w:t>
      </w:r>
      <w:r>
        <w:rPr>
          <w:rFonts w:hint="eastAsia" w:ascii="Times New Roman" w:hAnsi="Times New Roman" w:eastAsia="宋体" w:cs="Times New Roman"/>
          <w:color w:val="000000" w:themeColor="text1"/>
          <w:sz w:val="28"/>
          <w:szCs w:val="28"/>
          <w:highlight w:val="none"/>
          <w:u w:val="single" w:color="FFFFFF" w:themeColor="background1"/>
          <w:lang w:eastAsia="zh-CN"/>
          <w14:textFill>
            <w14:solidFill>
              <w14:schemeClr w14:val="tx1"/>
            </w14:solidFill>
          </w14:textFill>
        </w:rPr>
        <w:t>甲方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有管辖权的人民法院起诉；</w:t>
      </w:r>
    </w:p>
    <w:p w14:paraId="3B1EE9CA">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2）凡因本合同引起的或与本合同有关的任何争议，均应提交至【按照中铝法字【2022】101号文要求进行选择】仲裁，仲裁地在【按照中铝法字【2022】101号文要求进行选择】，按照申请仲裁时该会现行有效的仲裁规则进行仲裁。仲裁裁决是终局的，对双方均有约束力。</w:t>
      </w:r>
    </w:p>
    <w:p w14:paraId="479BBB2A">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14.2因处理争议而产生的诉讼费或仲裁费、保全费、保全保险费、公告费、律师代理费、差旅费等为主张权利而产生的全部费用，由</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败诉方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承担。</w:t>
      </w:r>
    </w:p>
    <w:p w14:paraId="68DB33CD">
      <w:pPr>
        <w:numPr>
          <w:ilvl w:val="0"/>
          <w:numId w:val="4"/>
        </w:numPr>
        <w:overflowPunct w:val="0"/>
        <w:spacing w:before="156" w:beforeLines="50" w:after="156" w:afterLines="50" w:line="480" w:lineRule="exact"/>
        <w:ind w:firstLine="562" w:firstLineChars="200"/>
        <w:jc w:val="left"/>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黑体" w:cs="Times New Roman"/>
          <w:b/>
          <w:bCs/>
          <w:color w:val="000000" w:themeColor="text1"/>
          <w:sz w:val="28"/>
          <w:szCs w:val="28"/>
          <w:highlight w:val="none"/>
          <w:u w:val="single" w:color="FFFFFF" w:themeColor="background1"/>
          <w14:textFill>
            <w14:solidFill>
              <w14:schemeClr w14:val="tx1"/>
            </w14:solidFill>
          </w14:textFill>
        </w:rPr>
        <w:t>附则</w:t>
      </w:r>
    </w:p>
    <w:p w14:paraId="53050BF0">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16.1合同未尽事宜双方可协商签订补充合同，补充合同和本合同具有同等的法律效力。</w:t>
      </w:r>
    </w:p>
    <w:p w14:paraId="25E67E71">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16.2合同附件是本合同组成部分，与本合同具有同等法律效力。</w:t>
      </w:r>
    </w:p>
    <w:p w14:paraId="45DC70DE">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16.3</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本合同自双方法定代表人或授权代表签字并加盖公章或合同专用章之日起生效。</w:t>
      </w:r>
    </w:p>
    <w:p w14:paraId="1CE96AA3">
      <w:pPr>
        <w:overflowPunct w:val="0"/>
        <w:spacing w:line="480" w:lineRule="exact"/>
        <w:ind w:firstLine="560" w:firstLineChars="200"/>
        <w:jc w:val="left"/>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16.4本合同一式【键入内容】份，甲乙双方各执【键入内容】份，具有同等法律效力。</w:t>
      </w:r>
    </w:p>
    <w:p w14:paraId="2BF090CD">
      <w:pPr>
        <w:overflowPunct w:val="0"/>
        <w:spacing w:line="480" w:lineRule="exact"/>
        <w:ind w:firstLine="560" w:firstLineChars="200"/>
        <w:jc w:val="left"/>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附件一：</w:t>
      </w:r>
    </w:p>
    <w:p w14:paraId="6F558023">
      <w:pPr>
        <w:overflowPunct w:val="0"/>
        <w:spacing w:line="480" w:lineRule="exact"/>
        <w:ind w:firstLine="560" w:firstLineChars="200"/>
        <w:jc w:val="left"/>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附件二：</w:t>
      </w:r>
    </w:p>
    <w:p w14:paraId="26A43A15">
      <w:pPr>
        <w:overflowPunct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pPr>
      <w:r>
        <w:rPr>
          <w:rFonts w:hint="eastAsia" w:ascii="Times New Roman" w:hAnsi="Times New Roman" w:eastAsia="宋体" w:cs="Times New Roman"/>
          <w:color w:val="000000" w:themeColor="text1"/>
          <w:sz w:val="28"/>
          <w:szCs w:val="28"/>
          <w:highlight w:val="none"/>
          <w:u w:val="single" w:color="FFFFFF" w:themeColor="background1"/>
          <w:lang w:val="en-US" w:eastAsia="zh-CN"/>
          <w14:textFill>
            <w14:solidFill>
              <w14:schemeClr w14:val="tx1"/>
            </w14:solidFill>
          </w14:textFill>
        </w:rPr>
        <w:t>...</w:t>
      </w:r>
    </w:p>
    <w:p w14:paraId="6A0F428D">
      <w:pPr>
        <w:overflowPunct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（以下</w:t>
      </w:r>
      <w:r>
        <w:rPr>
          <w:rFonts w:ascii="Times New Roman" w:hAnsi="Times New Roman" w:eastAsia="宋体" w:cs="Times New Roman"/>
          <w:color w:val="000000" w:themeColor="text1"/>
          <w:sz w:val="28"/>
          <w:szCs w:val="28"/>
          <w:highlight w:val="none"/>
          <w:u w:val="single" w:color="FFFFFF" w:themeColor="background1"/>
          <w:lang w:eastAsia="zh-Hans"/>
          <w14:textFill>
            <w14:solidFill>
              <w14:schemeClr w14:val="tx1"/>
            </w14:solidFill>
          </w14:textFill>
        </w:rPr>
        <w:t>无正文</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w:t>
      </w:r>
    </w:p>
    <w:p w14:paraId="2C820038">
      <w:pPr>
        <w:overflowPunct w:val="0"/>
        <w:spacing w:line="480" w:lineRule="exact"/>
        <w:rPr>
          <w:rFonts w:ascii="Times New Roman" w:hAnsi="Times New Roman" w:eastAsia="方正仿宋_GB2312"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方正仿宋_GB2312" w:cs="Times New Roman"/>
          <w:color w:val="000000" w:themeColor="text1"/>
          <w:sz w:val="28"/>
          <w:szCs w:val="28"/>
          <w:highlight w:val="none"/>
          <w:u w:val="single" w:color="FFFFFF" w:themeColor="background1"/>
          <w14:textFill>
            <w14:solidFill>
              <w14:schemeClr w14:val="tx1"/>
            </w14:solidFill>
          </w14:textFill>
        </w:rPr>
        <w:br w:type="page"/>
      </w:r>
    </w:p>
    <w:p w14:paraId="1F3C783E">
      <w:pPr>
        <w:overflowPunct w:val="0"/>
        <w:adjustRightInd w:val="0"/>
        <w:snapToGrid w:val="0"/>
        <w:spacing w:line="480" w:lineRule="exact"/>
        <w:ind w:firstLine="560" w:firstLineChars="200"/>
        <w:rPr>
          <w:rFonts w:hint="eastAsia" w:ascii="Times New Roman" w:hAnsi="Times New Roman" w:eastAsia="宋体" w:cs="Times New Roman"/>
          <w:color w:val="000000" w:themeColor="text1"/>
          <w:sz w:val="28"/>
          <w:szCs w:val="28"/>
          <w:highlight w:val="none"/>
          <w:u w:val="single" w:color="FFFFFF" w:themeColor="background1"/>
          <w:lang w:eastAsia="zh-CN"/>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（本页无正文，为</w:t>
      </w:r>
      <w:r>
        <w:rPr>
          <w:rFonts w:hint="eastAsia" w:ascii="宋体" w:hAnsi="宋体" w:eastAsia="宋体" w:cs="宋体"/>
          <w:color w:val="000000" w:themeColor="text1"/>
          <w:sz w:val="28"/>
          <w:szCs w:val="28"/>
          <w:highlight w:val="none"/>
          <w:u w:val="single" w:color="FFFFFF" w:themeColor="background1"/>
          <w:lang w:eastAsia="zh-Hans"/>
          <w14:textFill>
            <w14:solidFill>
              <w14:schemeClr w14:val="tx1"/>
            </w14:solidFill>
          </w14:textFill>
        </w:rPr>
        <w:t>【键入合同编号】</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w:t>
      </w:r>
      <w:r>
        <w:rPr>
          <w:rFonts w:ascii="Times New Roman" w:hAnsi="Times New Roman" w:eastAsia="宋体" w:cs="Times New Roman"/>
          <w:color w:val="000000" w:themeColor="text1"/>
          <w:sz w:val="28"/>
          <w:szCs w:val="28"/>
          <w:highlight w:val="none"/>
          <w:u w:val="single" w:color="FFFFFF" w:themeColor="background1"/>
          <w:lang w:eastAsia="zh-Hans"/>
          <w14:textFill>
            <w14:solidFill>
              <w14:schemeClr w14:val="tx1"/>
            </w14:solidFill>
          </w14:textFill>
        </w:rPr>
        <w:t>设备改造</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合同》之签</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字</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盖章页）</w:t>
      </w:r>
    </w:p>
    <w:p w14:paraId="484114B1">
      <w:pPr>
        <w:overflowPunct w:val="0"/>
        <w:adjustRightInd w:val="0"/>
        <w:snapToGrid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甲方（盖章）：</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法定代表人或授权代表（签</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字</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                 </w:t>
      </w:r>
    </w:p>
    <w:p w14:paraId="4244B592">
      <w:pPr>
        <w:overflowPunct w:val="0"/>
        <w:adjustRightInd w:val="0"/>
        <w:snapToGrid w:val="0"/>
        <w:spacing w:line="480" w:lineRule="exact"/>
        <w:ind w:firstLine="560" w:firstLineChars="200"/>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                   </w:t>
      </w:r>
    </w:p>
    <w:p w14:paraId="024704F4">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        年       月       日    乙方（盖章）：</w:t>
      </w:r>
      <w:r>
        <w:rPr>
          <w:rFonts w:hint="eastAsia" w:ascii="宋体" w:hAnsi="宋体" w:eastAsia="宋体" w:cs="宋体"/>
          <w:color w:val="000000" w:themeColor="text1"/>
          <w:sz w:val="28"/>
          <w:szCs w:val="28"/>
          <w:highlight w:val="none"/>
          <w:u w:val="single" w:color="FFFFFF" w:themeColor="background1"/>
          <w14:textFill>
            <w14:solidFill>
              <w14:schemeClr w14:val="tx1"/>
            </w14:solidFill>
          </w14:textFill>
        </w:rPr>
        <w:t>【键入内容】</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xml:space="preserve"> 法定代表人或授权代表（签</w:t>
      </w:r>
      <w:r>
        <w:rPr>
          <w:rFonts w:hint="eastAsia"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字</w:t>
      </w:r>
      <w:r>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t>）：         年       月       日</w:t>
      </w:r>
    </w:p>
    <w:p w14:paraId="6EBE6118">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024477FB">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61C0449F">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7CDBBE36">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2E566692">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44149C40">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5942A75D">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10B4B209">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2F63E35E">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7E975F0D">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58D97E43">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16E6042D">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56F0BAD5">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67BCD030">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2E7F095C">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5B10935D">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6CBCF4A9">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56667797">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19C0ADE3">
      <w:pPr>
        <w:pStyle w:val="18"/>
        <w:rPr>
          <w:rFonts w:ascii="Times New Roman" w:hAnsi="Times New Roman" w:eastAsia="宋体" w:cs="Times New Roman"/>
          <w:color w:val="000000" w:themeColor="text1"/>
          <w:sz w:val="28"/>
          <w:szCs w:val="28"/>
          <w:highlight w:val="none"/>
          <w:u w:val="single" w:color="FFFFFF" w:themeColor="background1"/>
          <w14:textFill>
            <w14:solidFill>
              <w14:schemeClr w14:val="tx1"/>
            </w14:solidFill>
          </w14:textFill>
        </w:rPr>
      </w:pPr>
    </w:p>
    <w:p w14:paraId="573EBCA3">
      <w:pPr>
        <w:rPr>
          <w:rFonts w:hint="eastAsia" w:ascii="Times New Roman" w:hAnsi="Times New Roman" w:cs="Times New Roman"/>
          <w:color w:val="000000" w:themeColor="text1"/>
          <w:sz w:val="28"/>
          <w:szCs w:val="28"/>
          <w:highlight w:val="none"/>
          <w:u w:val="single" w:color="FFFFFF" w:themeColor="background1"/>
          <w:lang w:eastAsia="zh-CN"/>
          <w14:textFill>
            <w14:solidFill>
              <w14:schemeClr w14:val="tx1"/>
            </w14:solidFill>
          </w14:textFill>
        </w:rPr>
      </w:pPr>
      <w:r>
        <w:rPr>
          <w:rFonts w:hint="eastAsia" w:ascii="Times New Roman" w:hAnsi="Times New Roman" w:cs="Times New Roman"/>
          <w:color w:val="000000" w:themeColor="text1"/>
          <w:sz w:val="28"/>
          <w:szCs w:val="28"/>
          <w:highlight w:val="none"/>
          <w:u w:val="single" w:color="FFFFFF" w:themeColor="background1"/>
          <w:lang w:eastAsia="zh-CN"/>
          <w14:textFill>
            <w14:solidFill>
              <w14:schemeClr w14:val="tx1"/>
            </w14:solidFill>
          </w14:textFill>
        </w:rPr>
        <w:t>附件：廉政条款</w:t>
      </w:r>
    </w:p>
    <w:p w14:paraId="004B1B96">
      <w:pPr>
        <w:pStyle w:val="18"/>
        <w:rPr>
          <w:rFonts w:hint="eastAsia" w:cs="Times New Roman"/>
          <w:color w:val="000000" w:themeColor="text1"/>
          <w:sz w:val="28"/>
          <w:szCs w:val="28"/>
          <w:highlight w:val="none"/>
          <w:u w:val="single" w:color="FFFFFF" w:themeColor="background1"/>
          <w:lang w:eastAsia="zh-CN"/>
          <w14:textFill>
            <w14:solidFill>
              <w14:schemeClr w14:val="tx1"/>
            </w14:solidFill>
          </w14:textFill>
        </w:rPr>
      </w:pPr>
      <w:r>
        <w:rPr>
          <w:rFonts w:hint="eastAsia" w:cs="Times New Roman"/>
          <w:color w:val="000000" w:themeColor="text1"/>
          <w:sz w:val="28"/>
          <w:szCs w:val="28"/>
          <w:highlight w:val="none"/>
          <w:u w:val="single" w:color="FFFFFF" w:themeColor="background1"/>
          <w:lang w:eastAsia="zh-CN"/>
          <w14:textFill>
            <w14:solidFill>
              <w14:schemeClr w14:val="tx1"/>
            </w14:solidFill>
          </w14:textFill>
        </w:rPr>
        <w:t>1.甲乙双方应当自觉严格遵守国家有关法律、法规和党风廉政建设等各项规定，严格杜绝违法违规行为的发生。在合同的订立、履行过程中廉洁自律，严格执行双方签订的合同文件。</w:t>
      </w:r>
    </w:p>
    <w:p w14:paraId="0B18A35E">
      <w:pPr>
        <w:pStyle w:val="18"/>
        <w:rPr>
          <w:rFonts w:hint="eastAsia" w:cs="Times New Roman"/>
          <w:color w:val="000000" w:themeColor="text1"/>
          <w:sz w:val="28"/>
          <w:szCs w:val="28"/>
          <w:highlight w:val="none"/>
          <w:u w:val="single" w:color="FFFFFF" w:themeColor="background1"/>
          <w:lang w:eastAsia="zh-CN"/>
          <w14:textFill>
            <w14:solidFill>
              <w14:schemeClr w14:val="tx1"/>
            </w14:solidFill>
          </w14:textFill>
        </w:rPr>
      </w:pPr>
      <w:r>
        <w:rPr>
          <w:rFonts w:hint="eastAsia" w:cs="Times New Roman"/>
          <w:color w:val="000000" w:themeColor="text1"/>
          <w:sz w:val="28"/>
          <w:szCs w:val="28"/>
          <w:highlight w:val="none"/>
          <w:u w:val="single" w:color="FFFFFF" w:themeColor="background1"/>
          <w:lang w:eastAsia="zh-CN"/>
          <w14:textFill>
            <w14:solidFill>
              <w14:schemeClr w14:val="tx1"/>
            </w14:solidFill>
          </w14:textFill>
        </w:rPr>
        <w:t>2.甲乙双方的业务活动除法律认定的商业秘密和合同另有约定外，必须坚持公开、公平、公正、诚信的原则，严禁损害国家、集体和对方的利益，不得违反法律、法规及公司有关规章制度。</w:t>
      </w:r>
    </w:p>
    <w:p w14:paraId="2C627F31">
      <w:pPr>
        <w:pStyle w:val="18"/>
        <w:rPr>
          <w:rFonts w:hint="eastAsia" w:cs="Times New Roman"/>
          <w:color w:val="000000" w:themeColor="text1"/>
          <w:sz w:val="28"/>
          <w:szCs w:val="28"/>
          <w:highlight w:val="none"/>
          <w:u w:val="single" w:color="FFFFFF" w:themeColor="background1"/>
          <w:lang w:eastAsia="zh-CN"/>
          <w14:textFill>
            <w14:solidFill>
              <w14:schemeClr w14:val="tx1"/>
            </w14:solidFill>
          </w14:textFill>
        </w:rPr>
      </w:pPr>
      <w:r>
        <w:rPr>
          <w:rFonts w:hint="eastAsia" w:cs="Times New Roman"/>
          <w:color w:val="000000" w:themeColor="text1"/>
          <w:sz w:val="28"/>
          <w:szCs w:val="28"/>
          <w:highlight w:val="none"/>
          <w:u w:val="single" w:color="FFFFFF" w:themeColor="background1"/>
          <w:lang w:eastAsia="zh-CN"/>
          <w14:textFill>
            <w14:solidFill>
              <w14:schemeClr w14:val="tx1"/>
            </w14:solidFill>
          </w14:textFill>
        </w:rPr>
        <w:t>3.双方保证决不为获得交易机会或为达到交易目的而向对方的任何人员、关联方及其特定关系人进行任何贿赂以及提供、给付各种不正当利益或达成不正当利益的分成以及进行其他不正当行为。</w:t>
      </w:r>
    </w:p>
    <w:p w14:paraId="7A5DAE28">
      <w:pPr>
        <w:pStyle w:val="18"/>
        <w:rPr>
          <w:rFonts w:hint="eastAsia" w:cs="Times New Roman"/>
          <w:color w:val="000000" w:themeColor="text1"/>
          <w:sz w:val="28"/>
          <w:szCs w:val="28"/>
          <w:highlight w:val="none"/>
          <w:u w:val="single" w:color="FFFFFF" w:themeColor="background1"/>
          <w:lang w:eastAsia="zh-CN"/>
          <w14:textFill>
            <w14:solidFill>
              <w14:schemeClr w14:val="tx1"/>
            </w14:solidFill>
          </w14:textFill>
        </w:rPr>
      </w:pPr>
      <w:r>
        <w:rPr>
          <w:rFonts w:hint="eastAsia" w:cs="Times New Roman"/>
          <w:color w:val="000000" w:themeColor="text1"/>
          <w:sz w:val="28"/>
          <w:szCs w:val="28"/>
          <w:highlight w:val="none"/>
          <w:u w:val="single" w:color="FFFFFF" w:themeColor="background1"/>
          <w:lang w:eastAsia="zh-CN"/>
          <w14:textFill>
            <w14:solidFill>
              <w14:schemeClr w14:val="tx1"/>
            </w14:solidFill>
          </w14:textFill>
        </w:rPr>
        <w:t>4.双方保证决不向对方的任何人员、关联方及其特定关系人索要或接受任何贿赂和各种不正当利益或达成不正当利益的分成，或者要求对方的任何人员、关联方及其特定关系人进行其他不正当行为。</w:t>
      </w:r>
    </w:p>
    <w:p w14:paraId="6387DEA2">
      <w:pPr>
        <w:pStyle w:val="18"/>
        <w:rPr>
          <w:rFonts w:hint="eastAsia" w:cs="Times New Roman"/>
          <w:color w:val="000000" w:themeColor="text1"/>
          <w:sz w:val="28"/>
          <w:szCs w:val="28"/>
          <w:highlight w:val="none"/>
          <w:u w:val="single" w:color="FFFFFF" w:themeColor="background1"/>
          <w14:textFill>
            <w14:solidFill>
              <w14:schemeClr w14:val="tx1"/>
            </w14:solidFill>
          </w14:textFill>
        </w:rPr>
      </w:pPr>
      <w:r>
        <w:rPr>
          <w:rFonts w:hint="eastAsia" w:cs="Times New Roman"/>
          <w:color w:val="000000" w:themeColor="text1"/>
          <w:sz w:val="28"/>
          <w:szCs w:val="28"/>
          <w:highlight w:val="none"/>
          <w:u w:val="single" w:color="FFFFFF" w:themeColor="background1"/>
          <w14:textFill>
            <w14:solidFill>
              <w14:schemeClr w14:val="tx1"/>
            </w14:solidFill>
          </w14:textFill>
        </w:rPr>
        <w:t>5.双方必须加强对本方工作人员的监督管理。</w:t>
      </w:r>
    </w:p>
    <w:p w14:paraId="039A81D3">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6.一方发现对方人员在合同执行中有违反廉政规定和本协议约定的行为时，有及时提醒和督促对方纠正的权利和义务，有权向对方主管部门或纪检监察部门举报。</w:t>
      </w:r>
    </w:p>
    <w:p w14:paraId="0575BB5C">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7.甲乙双方有权对合同执行中保持廉洁的情况实行监督，定期或不定</w:t>
      </w:r>
    </w:p>
    <w:p w14:paraId="615CB218">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期检查双方履行本协议的情况。</w:t>
      </w:r>
    </w:p>
    <w:p w14:paraId="30A7F382">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8.双方的监督举报渠道如下:</w:t>
      </w:r>
    </w:p>
    <w:p w14:paraId="47D41103">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甲方:中铝</w:t>
      </w:r>
      <w:r>
        <w:rPr>
          <w:rFonts w:hint="eastAsia"/>
          <w:color w:val="000000" w:themeColor="text1"/>
          <w:sz w:val="28"/>
          <w:szCs w:val="28"/>
          <w:highlight w:val="none"/>
          <w:u w:val="single" w:color="FFFFFF" w:themeColor="background1"/>
          <w:lang w:val="en-US" w:eastAsia="zh-CN"/>
          <w14:textFill>
            <w14:solidFill>
              <w14:schemeClr w14:val="tx1"/>
            </w14:solidFill>
          </w14:textFill>
        </w:rPr>
        <w:t>铝箔</w:t>
      </w:r>
      <w:r>
        <w:rPr>
          <w:rFonts w:hint="eastAsia"/>
          <w:color w:val="000000" w:themeColor="text1"/>
          <w:sz w:val="28"/>
          <w:szCs w:val="28"/>
          <w:highlight w:val="none"/>
          <w:u w:val="single" w:color="FFFFFF" w:themeColor="background1"/>
          <w14:textFill>
            <w14:solidFill>
              <w14:schemeClr w14:val="tx1"/>
            </w14:solidFill>
          </w14:textFill>
        </w:rPr>
        <w:t>(云南)有限公司</w:t>
      </w:r>
    </w:p>
    <w:p w14:paraId="6050E159">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举报电话:</w:t>
      </w:r>
    </w:p>
    <w:p w14:paraId="4B094C8C">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举报电子信箱:</w:t>
      </w:r>
    </w:p>
    <w:p w14:paraId="2B079692">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乙方:</w:t>
      </w:r>
    </w:p>
    <w:p w14:paraId="15353354">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举报电话:</w:t>
      </w:r>
    </w:p>
    <w:p w14:paraId="66D42DC5">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9.【乙方</w:t>
      </w:r>
      <w:r>
        <w:rPr>
          <w:rFonts w:hint="eastAsia"/>
          <w:color w:val="000000" w:themeColor="text1"/>
          <w:sz w:val="28"/>
          <w:szCs w:val="28"/>
          <w:highlight w:val="none"/>
          <w:u w:val="single" w:color="FFFFFF" w:themeColor="background1"/>
          <w:lang w:eastAsia="zh-CN"/>
          <w14:textFill>
            <w14:solidFill>
              <w14:schemeClr w14:val="tx1"/>
            </w14:solidFill>
          </w14:textFill>
        </w:rPr>
        <w:t>】</w:t>
      </w:r>
      <w:r>
        <w:rPr>
          <w:rFonts w:hint="eastAsia"/>
          <w:color w:val="000000" w:themeColor="text1"/>
          <w:sz w:val="28"/>
          <w:szCs w:val="28"/>
          <w:highlight w:val="none"/>
          <w:u w:val="single" w:color="FFFFFF" w:themeColor="background1"/>
          <w14:textFill>
            <w14:solidFill>
              <w14:schemeClr w14:val="tx1"/>
            </w14:solidFill>
          </w14:textFill>
        </w:rPr>
        <w:t>及其工作人员违反本条款规定的，【甲方</w:t>
      </w:r>
      <w:r>
        <w:rPr>
          <w:rFonts w:hint="eastAsia"/>
          <w:color w:val="000000" w:themeColor="text1"/>
          <w:sz w:val="28"/>
          <w:szCs w:val="28"/>
          <w:highlight w:val="none"/>
          <w:u w:val="single" w:color="FFFFFF" w:themeColor="background1"/>
          <w:lang w:eastAsia="zh-CN"/>
          <w14:textFill>
            <w14:solidFill>
              <w14:schemeClr w14:val="tx1"/>
            </w14:solidFill>
          </w14:textFill>
        </w:rPr>
        <w:t>】</w:t>
      </w:r>
      <w:r>
        <w:rPr>
          <w:rFonts w:hint="eastAsia"/>
          <w:color w:val="000000" w:themeColor="text1"/>
          <w:sz w:val="28"/>
          <w:szCs w:val="28"/>
          <w:highlight w:val="none"/>
          <w:u w:val="single" w:color="FFFFFF" w:themeColor="background1"/>
          <w14:textFill>
            <w14:solidFill>
              <w14:schemeClr w14:val="tx1"/>
            </w14:solidFill>
          </w14:textFill>
        </w:rPr>
        <w:t>有权向</w:t>
      </w:r>
      <w:r>
        <w:rPr>
          <w:rFonts w:hint="eastAsia"/>
          <w:color w:val="000000" w:themeColor="text1"/>
          <w:sz w:val="28"/>
          <w:szCs w:val="28"/>
          <w:highlight w:val="none"/>
          <w:u w:val="single" w:color="FFFFFF" w:themeColor="background1"/>
          <w:lang w:eastAsia="zh-CN"/>
          <w14:textFill>
            <w14:solidFill>
              <w14:schemeClr w14:val="tx1"/>
            </w14:solidFill>
          </w14:textFill>
        </w:rPr>
        <w:t>【</w:t>
      </w:r>
      <w:r>
        <w:rPr>
          <w:rFonts w:hint="eastAsia"/>
          <w:color w:val="000000" w:themeColor="text1"/>
          <w:sz w:val="28"/>
          <w:szCs w:val="28"/>
          <w:highlight w:val="none"/>
          <w:u w:val="single" w:color="FFFFFF" w:themeColor="background1"/>
          <w14:textFill>
            <w14:solidFill>
              <w14:schemeClr w14:val="tx1"/>
            </w14:solidFill>
          </w14:textFill>
        </w:rPr>
        <w:t>乙</w:t>
      </w:r>
      <w:r>
        <w:rPr>
          <w:rFonts w:hint="eastAsia"/>
          <w:color w:val="000000" w:themeColor="text1"/>
          <w:sz w:val="28"/>
          <w:szCs w:val="28"/>
          <w:highlight w:val="none"/>
          <w:u w:val="single" w:color="FFFFFF" w:themeColor="background1"/>
          <w:lang w:eastAsia="zh-CN"/>
          <w14:textFill>
            <w14:solidFill>
              <w14:schemeClr w14:val="tx1"/>
            </w14:solidFill>
          </w14:textFill>
        </w:rPr>
        <w:t>】</w:t>
      </w:r>
      <w:r>
        <w:rPr>
          <w:rFonts w:hint="eastAsia"/>
          <w:color w:val="000000" w:themeColor="text1"/>
          <w:sz w:val="28"/>
          <w:szCs w:val="28"/>
          <w:highlight w:val="none"/>
          <w:u w:val="single" w:color="FFFFFF" w:themeColor="background1"/>
          <w14:textFill>
            <w14:solidFill>
              <w14:schemeClr w14:val="tx1"/>
            </w14:solidFill>
          </w14:textFill>
        </w:rPr>
        <w:t>方监督渠道或外部监督渠道进行投诉或举报，【乙方</w:t>
      </w:r>
      <w:r>
        <w:rPr>
          <w:rFonts w:hint="eastAsia"/>
          <w:color w:val="000000" w:themeColor="text1"/>
          <w:sz w:val="28"/>
          <w:szCs w:val="28"/>
          <w:highlight w:val="none"/>
          <w:u w:val="single" w:color="FFFFFF" w:themeColor="background1"/>
          <w:lang w:eastAsia="zh-CN"/>
          <w14:textFill>
            <w14:solidFill>
              <w14:schemeClr w14:val="tx1"/>
            </w14:solidFill>
          </w14:textFill>
        </w:rPr>
        <w:t>】</w:t>
      </w:r>
      <w:r>
        <w:rPr>
          <w:rFonts w:hint="eastAsia"/>
          <w:color w:val="000000" w:themeColor="text1"/>
          <w:sz w:val="28"/>
          <w:szCs w:val="28"/>
          <w:highlight w:val="none"/>
          <w:u w:val="single" w:color="FFFFFF" w:themeColor="background1"/>
          <w14:textFill>
            <w14:solidFill>
              <w14:schemeClr w14:val="tx1"/>
            </w14:solidFill>
          </w14:textFill>
        </w:rPr>
        <w:t>应当按规定处理并向【甲方</w:t>
      </w:r>
      <w:r>
        <w:rPr>
          <w:rFonts w:hint="eastAsia"/>
          <w:color w:val="000000" w:themeColor="text1"/>
          <w:sz w:val="28"/>
          <w:szCs w:val="28"/>
          <w:highlight w:val="none"/>
          <w:u w:val="single" w:color="FFFFFF" w:themeColor="background1"/>
          <w:lang w:eastAsia="zh-CN"/>
          <w14:textFill>
            <w14:solidFill>
              <w14:schemeClr w14:val="tx1"/>
            </w14:solidFill>
          </w14:textFill>
        </w:rPr>
        <w:t>】</w:t>
      </w:r>
      <w:r>
        <w:rPr>
          <w:rFonts w:hint="eastAsia"/>
          <w:color w:val="000000" w:themeColor="text1"/>
          <w:sz w:val="28"/>
          <w:szCs w:val="28"/>
          <w:highlight w:val="none"/>
          <w:u w:val="single" w:color="FFFFFF" w:themeColor="background1"/>
          <w14:textFill>
            <w14:solidFill>
              <w14:schemeClr w14:val="tx1"/>
            </w14:solidFill>
          </w14:textFill>
        </w:rPr>
        <w:t>反馈处理情况。</w:t>
      </w:r>
    </w:p>
    <w:p w14:paraId="4A95DFC6">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10.双方纪检监察部门负责受理举报、投诉，监督、查处经济活动中的违规违纪违法行为。如发现有违反约定的行为，将严格追究违规违纪违法人员的责任，并给予相应处理;涉嫌违法犯罪的将移交司法机关处理。</w:t>
      </w:r>
    </w:p>
    <w:p w14:paraId="07F767F7">
      <w:pPr>
        <w:pStyle w:val="18"/>
        <w:rPr>
          <w:rFonts w:hint="eastAsia"/>
          <w:color w:val="000000" w:themeColor="text1"/>
          <w:sz w:val="28"/>
          <w:szCs w:val="28"/>
          <w:highlight w:val="none"/>
          <w:u w:val="single" w:color="FFFFFF" w:themeColor="background1"/>
          <w14:textFill>
            <w14:solidFill>
              <w14:schemeClr w14:val="tx1"/>
            </w14:solidFill>
          </w14:textFill>
        </w:rPr>
      </w:pPr>
      <w:r>
        <w:rPr>
          <w:rFonts w:hint="eastAsia"/>
          <w:color w:val="000000" w:themeColor="text1"/>
          <w:sz w:val="28"/>
          <w:szCs w:val="28"/>
          <w:highlight w:val="none"/>
          <w:u w:val="single" w:color="FFFFFF" w:themeColor="background1"/>
          <w14:textFill>
            <w14:solidFill>
              <w14:schemeClr w14:val="tx1"/>
            </w14:solidFill>
          </w14:textFill>
        </w:rPr>
        <w:t>11.一方违反上述任何一条廉洁、诚信承诺，给另一方造成损失的，受损失方有权从另一方保证金或其他合同款项中扣除。</w:t>
      </w:r>
    </w:p>
    <w:p w14:paraId="0B42D1FE">
      <w:r>
        <w:rPr>
          <w:rFonts w:hint="eastAsia"/>
          <w:color w:val="000000" w:themeColor="text1"/>
          <w:sz w:val="28"/>
          <w:szCs w:val="28"/>
          <w:highlight w:val="none"/>
          <w:u w:val="single" w:color="FFFFFF" w:themeColor="background1"/>
          <w14:textFill>
            <w14:solidFill>
              <w14:schemeClr w14:val="tx1"/>
            </w14:solidFill>
          </w14:textFill>
        </w:rPr>
        <w:t>12.一方违反上述任何一条廉洁、诚信承诺，给另一方工作人员造成名誉或精神伤害的，可采取民事诉讼、刑事诉讼等方式追究责任。</w:t>
      </w:r>
    </w:p>
    <w:p w14:paraId="3EC6EEC0">
      <w:pPr>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C260B32-6383-4ACB-AD49-89A2B9F6B2AC}"/>
  </w:font>
  <w:font w:name="黑体">
    <w:panose1 w:val="02010609060101010101"/>
    <w:charset w:val="86"/>
    <w:family w:val="auto"/>
    <w:pitch w:val="default"/>
    <w:sig w:usb0="800002BF" w:usb1="38CF7CFA" w:usb2="00000016" w:usb3="00000000" w:csb0="00040001" w:csb1="00000000"/>
    <w:embedRegular r:id="rId2" w:fontKey="{53FE6F1E-1C08-45E6-850D-EC24D5721A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49F87F1-97C9-48E1-BFF7-99E19C147CDA}"/>
  </w:font>
  <w:font w:name="Calibri Light">
    <w:panose1 w:val="020F0302020204030204"/>
    <w:charset w:val="00"/>
    <w:family w:val="auto"/>
    <w:pitch w:val="default"/>
    <w:sig w:usb0="E4002EFF" w:usb1="C000247B" w:usb2="00000009" w:usb3="00000000" w:csb0="200001FF" w:csb1="00000000"/>
  </w:font>
  <w:font w:name="F2,Bold">
    <w:altName w:val="宋体"/>
    <w:panose1 w:val="00000000000000000000"/>
    <w:charset w:val="86"/>
    <w:family w:val="auto"/>
    <w:pitch w:val="default"/>
    <w:sig w:usb0="00000000" w:usb1="00000000" w:usb2="00000010" w:usb3="00000000" w:csb0="00040000" w:csb1="00000000"/>
    <w:embedRegular r:id="rId4" w:fontKey="{DE7E48A3-56F6-4339-AE15-1253BC1333B4}"/>
  </w:font>
  <w:font w:name="方正仿宋_GB2312">
    <w:panose1 w:val="02000000000000000000"/>
    <w:charset w:val="86"/>
    <w:family w:val="auto"/>
    <w:pitch w:val="default"/>
    <w:sig w:usb0="A00002BF" w:usb1="184F6CFA" w:usb2="00000012" w:usb3="00000000" w:csb0="00040001" w:csb1="00000000"/>
    <w:embedRegular r:id="rId5" w:fontKey="{04990586-B6B4-45A3-A08E-27444B68C33E}"/>
  </w:font>
  <w:font w:name="方正小标宋简体">
    <w:altName w:val="Arial Unicode MS"/>
    <w:panose1 w:val="02000000000000000000"/>
    <w:charset w:val="86"/>
    <w:family w:val="script"/>
    <w:pitch w:val="default"/>
    <w:sig w:usb0="00000000" w:usb1="00000000" w:usb2="00000000" w:usb3="00000000" w:csb0="00040000" w:csb1="00000000"/>
    <w:embedRegular r:id="rId6" w:fontKey="{BCBBFE80-DF19-4BDE-B84F-9C8F5135A45D}"/>
  </w:font>
  <w:font w:name="Arial Unicode MS">
    <w:panose1 w:val="020B0604020202020204"/>
    <w:charset w:val="86"/>
    <w:family w:val="auto"/>
    <w:pitch w:val="default"/>
    <w:sig w:usb0="F7FFAEFF" w:usb1="F9DFFFFF"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embedRegular r:id="rId7" w:fontKey="{525D0159-FD97-4290-A94F-37CCA0D7B9F1}"/>
  </w:font>
  <w:font w:name="仿宋">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A00002BF" w:usb1="184F6CFA" w:usb2="00000012" w:usb3="00000000" w:csb0="00040001" w:csb1="00000000"/>
  </w:font>
  <w:font w:name="KSOF4B1AA1F4">
    <w:panose1 w:val="020B0604020202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17B748"/>
    <w:multiLevelType w:val="singleLevel"/>
    <w:tmpl w:val="5E17B748"/>
    <w:lvl w:ilvl="0" w:tentative="0">
      <w:start w:val="1"/>
      <w:numFmt w:val="chineseCountingThousand"/>
      <w:suff w:val="nothing"/>
      <w:lvlText w:val="第%1条 "/>
      <w:lvlJc w:val="left"/>
      <w:pPr>
        <w:ind w:left="0" w:firstLine="420"/>
      </w:pPr>
      <w:rPr>
        <w:rFonts w:hint="eastAsia"/>
        <w:i w:val="0"/>
        <w:iCs w:val="0"/>
      </w:rPr>
    </w:lvl>
  </w:abstractNum>
  <w:abstractNum w:abstractNumId="1">
    <w:nsid w:val="689CD667"/>
    <w:multiLevelType w:val="singleLevel"/>
    <w:tmpl w:val="689CD667"/>
    <w:lvl w:ilvl="0" w:tentative="0">
      <w:start w:val="1"/>
      <w:numFmt w:val="decimal"/>
      <w:suff w:val="nothing"/>
      <w:lvlText w:val="%1、"/>
      <w:lvlJc w:val="left"/>
    </w:lvl>
  </w:abstractNum>
  <w:abstractNum w:abstractNumId="2">
    <w:nsid w:val="753357DF"/>
    <w:multiLevelType w:val="singleLevel"/>
    <w:tmpl w:val="753357DF"/>
    <w:lvl w:ilvl="0" w:tentative="0">
      <w:start w:val="2"/>
      <w:numFmt w:val="chineseCounting"/>
      <w:suff w:val="nothing"/>
      <w:lvlText w:val="%1、"/>
      <w:lvlJc w:val="left"/>
      <w:rPr>
        <w:rFonts w:hint="eastAsia"/>
      </w:rPr>
    </w:lvl>
  </w:abstractNum>
  <w:abstractNum w:abstractNumId="3">
    <w:nsid w:val="7DC319B6"/>
    <w:multiLevelType w:val="singleLevel"/>
    <w:tmpl w:val="7DC319B6"/>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3542D"/>
    <w:rsid w:val="017311EE"/>
    <w:rsid w:val="02C8629C"/>
    <w:rsid w:val="03053DEE"/>
    <w:rsid w:val="03F47F88"/>
    <w:rsid w:val="04C218DA"/>
    <w:rsid w:val="05F504EE"/>
    <w:rsid w:val="07117EF5"/>
    <w:rsid w:val="08964B56"/>
    <w:rsid w:val="0A83110A"/>
    <w:rsid w:val="0B4C58CD"/>
    <w:rsid w:val="0C1D75EE"/>
    <w:rsid w:val="0CDB1FF9"/>
    <w:rsid w:val="0D3606B5"/>
    <w:rsid w:val="0D7C256C"/>
    <w:rsid w:val="0F753717"/>
    <w:rsid w:val="0FCA38F7"/>
    <w:rsid w:val="1168681B"/>
    <w:rsid w:val="12170AB5"/>
    <w:rsid w:val="1217313B"/>
    <w:rsid w:val="121C39F7"/>
    <w:rsid w:val="13845891"/>
    <w:rsid w:val="15E7507B"/>
    <w:rsid w:val="161A6DC6"/>
    <w:rsid w:val="16880487"/>
    <w:rsid w:val="1813218C"/>
    <w:rsid w:val="188B4509"/>
    <w:rsid w:val="1B717D2A"/>
    <w:rsid w:val="1BEC4D61"/>
    <w:rsid w:val="1CD316F4"/>
    <w:rsid w:val="1DA85FB6"/>
    <w:rsid w:val="1DAF4298"/>
    <w:rsid w:val="1EA416D1"/>
    <w:rsid w:val="1F15070B"/>
    <w:rsid w:val="22356D36"/>
    <w:rsid w:val="22925F36"/>
    <w:rsid w:val="25B508B9"/>
    <w:rsid w:val="262F1F91"/>
    <w:rsid w:val="27723A43"/>
    <w:rsid w:val="293933AF"/>
    <w:rsid w:val="2A86539F"/>
    <w:rsid w:val="2B8723B0"/>
    <w:rsid w:val="2D572256"/>
    <w:rsid w:val="2EED69CE"/>
    <w:rsid w:val="310857FE"/>
    <w:rsid w:val="334137F4"/>
    <w:rsid w:val="346D792F"/>
    <w:rsid w:val="34BF0E0C"/>
    <w:rsid w:val="34CE1050"/>
    <w:rsid w:val="35301450"/>
    <w:rsid w:val="370646B3"/>
    <w:rsid w:val="37985945"/>
    <w:rsid w:val="38313FBC"/>
    <w:rsid w:val="38AA0F5F"/>
    <w:rsid w:val="3BED44B1"/>
    <w:rsid w:val="3D9B1CEB"/>
    <w:rsid w:val="3DE0153A"/>
    <w:rsid w:val="3DFC6C2D"/>
    <w:rsid w:val="3EC82FA6"/>
    <w:rsid w:val="40BC6B48"/>
    <w:rsid w:val="42913241"/>
    <w:rsid w:val="448D7804"/>
    <w:rsid w:val="44BC50FA"/>
    <w:rsid w:val="47C118C5"/>
    <w:rsid w:val="47C27346"/>
    <w:rsid w:val="4826706B"/>
    <w:rsid w:val="4A0970DF"/>
    <w:rsid w:val="4C520A9A"/>
    <w:rsid w:val="4D685415"/>
    <w:rsid w:val="4E4363E6"/>
    <w:rsid w:val="4E6323B1"/>
    <w:rsid w:val="4EB71E32"/>
    <w:rsid w:val="4ED528EC"/>
    <w:rsid w:val="4F7D7821"/>
    <w:rsid w:val="4FFA6D45"/>
    <w:rsid w:val="547F3EAC"/>
    <w:rsid w:val="54DE554B"/>
    <w:rsid w:val="57A52DA3"/>
    <w:rsid w:val="57EA0678"/>
    <w:rsid w:val="58E3481A"/>
    <w:rsid w:val="591326B2"/>
    <w:rsid w:val="5A7A2F5C"/>
    <w:rsid w:val="5B47134C"/>
    <w:rsid w:val="5B472AD6"/>
    <w:rsid w:val="5E43542D"/>
    <w:rsid w:val="60DC76F4"/>
    <w:rsid w:val="60DD2BF7"/>
    <w:rsid w:val="61A60ADB"/>
    <w:rsid w:val="623E10CF"/>
    <w:rsid w:val="63A9658E"/>
    <w:rsid w:val="64557D2B"/>
    <w:rsid w:val="647749B0"/>
    <w:rsid w:val="65453DB0"/>
    <w:rsid w:val="65EB7404"/>
    <w:rsid w:val="66155F27"/>
    <w:rsid w:val="6697419C"/>
    <w:rsid w:val="6907225D"/>
    <w:rsid w:val="6A570916"/>
    <w:rsid w:val="6A825953"/>
    <w:rsid w:val="6AB841A2"/>
    <w:rsid w:val="6ADA35A3"/>
    <w:rsid w:val="6BCE3108"/>
    <w:rsid w:val="6C5D448C"/>
    <w:rsid w:val="6E1F40EF"/>
    <w:rsid w:val="6FE729EA"/>
    <w:rsid w:val="71A73815"/>
    <w:rsid w:val="72476E8D"/>
    <w:rsid w:val="72601FB5"/>
    <w:rsid w:val="72683B3E"/>
    <w:rsid w:val="729460BF"/>
    <w:rsid w:val="744C2DE8"/>
    <w:rsid w:val="7842045C"/>
    <w:rsid w:val="78C2422D"/>
    <w:rsid w:val="78DC5206"/>
    <w:rsid w:val="79C70258"/>
    <w:rsid w:val="7B76471B"/>
    <w:rsid w:val="7B7F7F7B"/>
    <w:rsid w:val="7BDE2E46"/>
    <w:rsid w:val="7C0641F8"/>
    <w:rsid w:val="7C7C304B"/>
    <w:rsid w:val="7E9401E1"/>
    <w:rsid w:val="7FAE5E98"/>
    <w:rsid w:val="7FF63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uppressAutoHyphens/>
      <w:spacing w:line="560" w:lineRule="exact"/>
      <w:ind w:left="198" w:firstLine="200" w:firstLineChars="200"/>
      <w:jc w:val="left"/>
    </w:pPr>
    <w:rPr>
      <w:spacing w:val="20"/>
      <w:kern w:val="0"/>
      <w:sz w:val="24"/>
      <w:szCs w:val="20"/>
    </w:rPr>
  </w:style>
  <w:style w:type="paragraph" w:styleId="6">
    <w:name w:val="Body Text"/>
    <w:basedOn w:val="1"/>
    <w:next w:val="7"/>
    <w:semiHidden/>
    <w:unhideWhenUsed/>
    <w:qFormat/>
    <w:uiPriority w:val="0"/>
    <w:pPr>
      <w:jc w:val="left"/>
    </w:pPr>
    <w:rPr>
      <w:rFonts w:ascii="宋体" w:hAnsi="宋体" w:eastAsia="宋体"/>
      <w:kern w:val="0"/>
      <w:szCs w:val="21"/>
      <w:lang w:val="zh-CN" w:eastAsia="en-US"/>
    </w:rPr>
  </w:style>
  <w:style w:type="paragraph" w:customStyle="1" w:styleId="7">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8">
    <w:name w:val="Plain Text"/>
    <w:basedOn w:val="1"/>
    <w:qFormat/>
    <w:uiPriority w:val="0"/>
    <w:pPr>
      <w:suppressAutoHyphens/>
    </w:pPr>
    <w:rPr>
      <w:rFonts w:ascii="宋体" w:hAnsi="宋体" w:eastAsiaTheme="minorEastAsia" w:cstheme="minorBidi"/>
      <w:kern w:val="1"/>
      <w:lang w:eastAsia="ar-SA"/>
    </w:rPr>
  </w:style>
  <w:style w:type="paragraph" w:styleId="9">
    <w:name w:val="Date"/>
    <w:basedOn w:val="1"/>
    <w:next w:val="1"/>
    <w:qFormat/>
    <w:uiPriority w:val="0"/>
    <w:rPr>
      <w:rFonts w:ascii="宋体"/>
      <w:color w:val="000000"/>
      <w:sz w:val="30"/>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eastAsiaTheme="minorEastAsia"/>
      <w:sz w:val="24"/>
      <w:szCs w:val="24"/>
    </w:rPr>
  </w:style>
  <w:style w:type="paragraph" w:styleId="12">
    <w:name w:val="Title"/>
    <w:basedOn w:val="1"/>
    <w:next w:val="1"/>
    <w:qFormat/>
    <w:uiPriority w:val="0"/>
    <w:pPr>
      <w:widowControl w:val="0"/>
      <w:spacing w:before="240" w:after="60"/>
      <w:jc w:val="center"/>
      <w:outlineLvl w:val="0"/>
    </w:pPr>
    <w:rPr>
      <w:rFonts w:ascii="Arial" w:hAnsi="Arial" w:eastAsia="宋体" w:cs="Times New Roman"/>
      <w:b/>
      <w:kern w:val="2"/>
      <w:sz w:val="32"/>
      <w:szCs w:val="22"/>
      <w:lang w:val="en-US" w:eastAsia="zh-CN" w:bidi="ar-SA"/>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paragraph" w:customStyle="1" w:styleId="17">
    <w:name w:val="1"/>
    <w:basedOn w:val="1"/>
    <w:qFormat/>
    <w:uiPriority w:val="0"/>
    <w:pPr>
      <w:spacing w:line="360" w:lineRule="auto"/>
      <w:jc w:val="center"/>
      <w:outlineLvl w:val="0"/>
    </w:pPr>
    <w:rPr>
      <w:rFonts w:ascii="宋体" w:hAnsi="宋体"/>
      <w:b/>
      <w:sz w:val="32"/>
      <w:szCs w:val="32"/>
    </w:rPr>
  </w:style>
  <w:style w:type="paragraph" w:customStyle="1" w:styleId="18">
    <w:name w:val="5正文"/>
    <w:basedOn w:val="1"/>
    <w:link w:val="21"/>
    <w:qFormat/>
    <w:uiPriority w:val="0"/>
    <w:pPr>
      <w:spacing w:line="360" w:lineRule="auto"/>
    </w:pPr>
    <w:rPr>
      <w:rFonts w:ascii="宋体" w:hAnsi="宋体"/>
      <w:sz w:val="24"/>
    </w:rPr>
  </w:style>
  <w:style w:type="paragraph" w:customStyle="1" w:styleId="19">
    <w:name w:val="6正文"/>
    <w:basedOn w:val="18"/>
    <w:qFormat/>
    <w:uiPriority w:val="0"/>
    <w:pPr>
      <w:ind w:firstLine="200" w:firstLineChars="200"/>
    </w:pPr>
  </w:style>
  <w:style w:type="paragraph" w:customStyle="1" w:styleId="20">
    <w:name w:val="2"/>
    <w:basedOn w:val="3"/>
    <w:qFormat/>
    <w:uiPriority w:val="0"/>
    <w:pPr>
      <w:tabs>
        <w:tab w:val="left" w:pos="0"/>
      </w:tabs>
      <w:suppressAutoHyphens/>
      <w:spacing w:before="0" w:after="0" w:line="480" w:lineRule="auto"/>
      <w:jc w:val="left"/>
    </w:pPr>
    <w:rPr>
      <w:rFonts w:ascii="宋体" w:hAnsi="宋体" w:eastAsia="宋体" w:cs="Times New Roman"/>
      <w:sz w:val="24"/>
      <w:lang w:eastAsia="ar-SA"/>
    </w:rPr>
  </w:style>
  <w:style w:type="character" w:customStyle="1" w:styleId="21">
    <w:name w:val="5正文 Char"/>
    <w:link w:val="18"/>
    <w:qFormat/>
    <w:uiPriority w:val="0"/>
    <w:rPr>
      <w:rFonts w:ascii="宋体" w:hAnsi="宋体"/>
      <w:sz w:val="24"/>
    </w:rPr>
  </w:style>
  <w:style w:type="paragraph" w:customStyle="1" w:styleId="22">
    <w:name w:val="3"/>
    <w:basedOn w:val="4"/>
    <w:qFormat/>
    <w:uiPriority w:val="0"/>
    <w:pPr>
      <w:tabs>
        <w:tab w:val="left" w:pos="0"/>
      </w:tabs>
      <w:suppressAutoHyphens/>
      <w:spacing w:before="0" w:after="0" w:line="360" w:lineRule="auto"/>
    </w:pPr>
    <w:rPr>
      <w:rFonts w:ascii="宋体" w:hAnsi="宋体" w:eastAsia="宋体" w:cs="Times New Roman"/>
      <w:sz w:val="24"/>
      <w:lang w:eastAsia="ar-SA"/>
    </w:rPr>
  </w:style>
  <w:style w:type="paragraph" w:customStyle="1" w:styleId="23">
    <w:name w:val="Table Paragraph"/>
    <w:basedOn w:val="1"/>
    <w:qFormat/>
    <w:uiPriority w:val="1"/>
    <w:pPr>
      <w:jc w:val="left"/>
    </w:pPr>
    <w:rPr>
      <w:rFonts w:ascii="宋体" w:hAnsi="宋体" w:eastAsia="宋体" w:cs="宋体"/>
      <w:kern w:val="0"/>
      <w:sz w:val="22"/>
      <w:lang w:eastAsia="en-US"/>
    </w:rPr>
  </w:style>
  <w:style w:type="paragraph" w:customStyle="1" w:styleId="24">
    <w:name w:val="四级标题"/>
    <w:basedOn w:val="9"/>
    <w:next w:val="5"/>
    <w:qFormat/>
    <w:uiPriority w:val="0"/>
    <w:rPr>
      <w:rFonts w:ascii="Calibri" w:hAnsi="Calibri" w:eastAsia="黑体"/>
      <w:szCs w:val="22"/>
    </w:rPr>
  </w:style>
  <w:style w:type="paragraph" w:styleId="25">
    <w:name w:val="List Paragraph"/>
    <w:basedOn w:val="1"/>
    <w:unhideWhenUsed/>
    <w:qFormat/>
    <w:uiPriority w:val="99"/>
    <w:pPr>
      <w:ind w:firstLine="420" w:firstLineChars="200"/>
    </w:p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4f6c3d-028f-4420-bdba-aeef536fd83c}"/>
        <w:style w:val=""/>
        <w:category>
          <w:name w:val="常规"/>
          <w:gallery w:val="placeholder"/>
        </w:category>
        <w:types>
          <w:type w:val="bbPlcHdr"/>
        </w:types>
        <w:behaviors>
          <w:behavior w:val="content"/>
        </w:behaviors>
        <w:description w:val=""/>
        <w:guid w:val="{164f6c3d-028f-4420-bdba-aeef536fd83c}"/>
      </w:docPartPr>
      <w:docPartBody>
        <w:p w14:paraId="54031121">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nhideWhenUsed="0" w:uiPriority="99" w:semiHidden="0"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paragraph" w:customStyle="1" w:styleId="3">
    <w:name w:val="62A14E7D99784E988CBACFB315BEE94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4">
    <w:name w:val="Placeholder Text"/>
    <w:basedOn w:val="2"/>
    <w:qFormat/>
    <w:uiPriority w:val="99"/>
  </w:style>
  <w:style w:type="paragraph" w:customStyle="1" w:styleId="5">
    <w:name w:val="58C1BD862C754C7FAB183FF4140B2F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FCB2755AD4D476FAFA051DA20676FB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C2D9133856E4C0F82712126540672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E36D36FC3F98491EB90AC2B3E42DCFB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E23621C7D653489C9FED2E1DAFBB6AF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2E5423BA507148DAA3DC028360F678D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5199FE90636A4B02ABD34E65C43F54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98299B79033F4F9EA5FE35986BC468C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8788664E4EEF4E20BA02CA1CC0AD7E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F31BA08920AD47B9B5F3D6A3D80CD4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A33F832F91F244348BF5A29350EA120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6AC93B1F766C4469A73C7B2FCA1C39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63CD8F56F8A944E89DC65E4C8387210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CD336F662DDD45B985FC957AC92572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5F4761915E0E47D580C100DD4A6952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2DAF413CA8FE42E3A77C45166A8F38E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43E5124BFCD04130A56ADE25D3375C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B2CC8AC7E49C4A3298293EF5C7CBE64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C20EA944F094BD08D329032F1704BF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396F7A0462AA4E119525A983F9C741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1E974736CF24B2BBBE5F5CC151E04A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8A8834AD365348F49267792BC75E88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2E9DB7A6893E4C4F854E883D706B6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1201003941240E3BF48B5889C6E5E0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BD24B904D9E141C490B9098921C3E7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6A14333BD5984173BF4B94C5696A703F"/>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中国铝业集团高端制造股份有限公司</Company>
  <Pages>32</Pages>
  <Words>993</Words>
  <Characters>1018</Characters>
  <Lines>0</Lines>
  <Paragraphs>0</Paragraphs>
  <TotalTime>10</TotalTime>
  <ScaleCrop>false</ScaleCrop>
  <LinksUpToDate>false</LinksUpToDate>
  <CharactersWithSpaces>1092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2026-01-22T03:16:00Z</dcterms:created>
  <dc:creator>文钟欣</dc:creator>
  <cp:lastModifiedBy>李亚鹏</cp:lastModifiedBy>
  <cp:lastPrinted>2026-08-17T07:55:00Z</cp:lastPrinted>
  <dcterms:modified xsi:type="dcterms:W3CDTF">2026-08-17T09:04:21Z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E4F4825A581B4104BBE9A59B72971892_13</vt:lpwstr>
  </property>
  <property fmtid="{D5CDD505-2E9C-101B-9397-08002B2CF9AE}" pid="4" name="KSOTemplateDocerSaveRecord">
    <vt:lpwstr>eyJoZGlkIjoiYWY2NWY4ODU5NWVmNmEzNTY2ZTRjYTY1MjM0YWMzYzUiLCJ1c2VySWQiOiI4MzE3NTQzMDgifQ==</vt:lpwstr>
  </property>
</Properties>
</file>